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776CD" w14:textId="77777777" w:rsidR="00856211" w:rsidRPr="006265CE" w:rsidRDefault="00856211" w:rsidP="00856211">
      <w:pPr>
        <w:jc w:val="center"/>
        <w:rPr>
          <w:rFonts w:ascii="Times New Roman" w:hAnsi="Times New Roman" w:cs="Times New Roman"/>
          <w:b/>
          <w:sz w:val="32"/>
          <w:szCs w:val="32"/>
        </w:rPr>
      </w:pPr>
    </w:p>
    <w:p w14:paraId="71A823E0" w14:textId="77777777" w:rsidR="000828B4" w:rsidRPr="000828B4" w:rsidRDefault="000828B4" w:rsidP="000828B4">
      <w:pPr>
        <w:jc w:val="center"/>
        <w:rPr>
          <w:rFonts w:ascii="Times New Roman" w:hAnsi="Times New Roman" w:cs="Times New Roman"/>
          <w:b/>
          <w:sz w:val="40"/>
          <w:szCs w:val="40"/>
        </w:rPr>
      </w:pPr>
    </w:p>
    <w:p w14:paraId="5A753997" w14:textId="1210DF2C" w:rsidR="000828B4" w:rsidRPr="007B32D4" w:rsidRDefault="000828B4" w:rsidP="00064448">
      <w:pPr>
        <w:spacing w:line="360" w:lineRule="auto"/>
        <w:jc w:val="center"/>
        <w:rPr>
          <w:rFonts w:ascii="Times New Roman" w:hAnsi="Times New Roman" w:cs="Times New Roman"/>
          <w:b/>
          <w:caps/>
          <w:sz w:val="40"/>
          <w:szCs w:val="40"/>
          <w:lang w:val="en-US"/>
        </w:rPr>
      </w:pPr>
      <w:r w:rsidRPr="004A3FAD">
        <w:rPr>
          <w:rFonts w:ascii="Times New Roman" w:hAnsi="Times New Roman" w:cs="Times New Roman"/>
          <w:b/>
          <w:caps/>
          <w:sz w:val="40"/>
          <w:szCs w:val="40"/>
        </w:rPr>
        <w:t>Ус</w:t>
      </w:r>
      <w:r w:rsidR="00903565">
        <w:rPr>
          <w:rFonts w:ascii="Times New Roman" w:hAnsi="Times New Roman" w:cs="Times New Roman"/>
          <w:b/>
          <w:caps/>
          <w:sz w:val="40"/>
          <w:szCs w:val="40"/>
        </w:rPr>
        <w:t>ловия за изпълнение на проекти</w:t>
      </w:r>
      <w:r w:rsidR="007B32D4">
        <w:rPr>
          <w:rFonts w:ascii="Times New Roman" w:hAnsi="Times New Roman" w:cs="Times New Roman"/>
          <w:b/>
          <w:caps/>
          <w:sz w:val="40"/>
          <w:szCs w:val="40"/>
          <w:lang w:val="en-US"/>
        </w:rPr>
        <w:t>TE</w:t>
      </w:r>
    </w:p>
    <w:p w14:paraId="7449B7E9" w14:textId="0125397E" w:rsidR="009A6039" w:rsidRDefault="000828B4" w:rsidP="004A3FAD">
      <w:pPr>
        <w:spacing w:line="360" w:lineRule="auto"/>
        <w:jc w:val="center"/>
        <w:rPr>
          <w:rFonts w:ascii="Times New Roman" w:hAnsi="Times New Roman" w:cs="Times New Roman"/>
          <w:b/>
          <w:sz w:val="32"/>
          <w:szCs w:val="32"/>
        </w:rPr>
      </w:pPr>
      <w:r w:rsidRPr="009A6039">
        <w:rPr>
          <w:rFonts w:ascii="Times New Roman" w:hAnsi="Times New Roman" w:cs="Times New Roman"/>
          <w:b/>
          <w:sz w:val="32"/>
          <w:szCs w:val="32"/>
        </w:rPr>
        <w:t>за предоставяне на безвъзмездна финансова помощ</w:t>
      </w:r>
      <w:r w:rsidR="004A3FAD">
        <w:rPr>
          <w:rFonts w:ascii="Times New Roman" w:hAnsi="Times New Roman" w:cs="Times New Roman"/>
          <w:b/>
          <w:sz w:val="32"/>
          <w:szCs w:val="32"/>
        </w:rPr>
        <w:t xml:space="preserve"> </w:t>
      </w:r>
      <w:r w:rsidR="009A6039" w:rsidRPr="009A6039">
        <w:rPr>
          <w:rFonts w:ascii="Times New Roman" w:hAnsi="Times New Roman" w:cs="Times New Roman"/>
          <w:b/>
          <w:sz w:val="32"/>
          <w:szCs w:val="32"/>
        </w:rPr>
        <w:t>по</w:t>
      </w:r>
      <w:r w:rsidR="009A6039">
        <w:rPr>
          <w:rFonts w:ascii="Times New Roman" w:hAnsi="Times New Roman" w:cs="Times New Roman"/>
          <w:b/>
          <w:sz w:val="32"/>
          <w:szCs w:val="32"/>
        </w:rPr>
        <w:t xml:space="preserve"> </w:t>
      </w:r>
      <w:r w:rsidR="009A6039" w:rsidRPr="009A6039">
        <w:rPr>
          <w:rFonts w:ascii="Times New Roman" w:hAnsi="Times New Roman" w:cs="Times New Roman"/>
          <w:b/>
          <w:sz w:val="32"/>
          <w:szCs w:val="32"/>
        </w:rPr>
        <w:t>Оперативна програма „Иновации  и конкурентоспособност“</w:t>
      </w:r>
      <w:r w:rsidR="009A6039">
        <w:rPr>
          <w:rFonts w:ascii="Times New Roman" w:hAnsi="Times New Roman" w:cs="Times New Roman"/>
          <w:b/>
          <w:sz w:val="32"/>
          <w:szCs w:val="32"/>
        </w:rPr>
        <w:t xml:space="preserve"> 2014-2020</w:t>
      </w:r>
    </w:p>
    <w:p w14:paraId="3E76C368" w14:textId="4D9ABBEA" w:rsidR="009A6039" w:rsidRPr="009A6039" w:rsidRDefault="000D15E2" w:rsidP="009A6039">
      <w:pPr>
        <w:jc w:val="center"/>
        <w:rPr>
          <w:rFonts w:ascii="Times New Roman" w:hAnsi="Times New Roman" w:cs="Times New Roman"/>
          <w:b/>
          <w:sz w:val="32"/>
          <w:szCs w:val="32"/>
        </w:rPr>
      </w:pPr>
      <w:r>
        <w:rPr>
          <w:rFonts w:ascii="Times New Roman" w:hAnsi="Times New Roman" w:cs="Times New Roman"/>
          <w:b/>
          <w:sz w:val="32"/>
          <w:szCs w:val="32"/>
        </w:rPr>
        <w:t>в изпълнение на</w:t>
      </w:r>
      <w:r w:rsidRPr="009A6039">
        <w:rPr>
          <w:rFonts w:ascii="Times New Roman" w:hAnsi="Times New Roman" w:cs="Times New Roman"/>
          <w:b/>
          <w:sz w:val="32"/>
          <w:szCs w:val="32"/>
        </w:rPr>
        <w:t xml:space="preserve"> </w:t>
      </w:r>
      <w:r w:rsidR="009A6039" w:rsidRPr="009A6039">
        <w:rPr>
          <w:rFonts w:ascii="Times New Roman" w:hAnsi="Times New Roman" w:cs="Times New Roman"/>
          <w:b/>
          <w:sz w:val="32"/>
          <w:szCs w:val="32"/>
        </w:rPr>
        <w:t>подхода</w:t>
      </w:r>
    </w:p>
    <w:p w14:paraId="211D333E" w14:textId="6D33524F" w:rsidR="009A6039" w:rsidRPr="009A6039" w:rsidRDefault="009A6039" w:rsidP="009A6039">
      <w:pPr>
        <w:jc w:val="center"/>
        <w:rPr>
          <w:rFonts w:ascii="Times New Roman" w:hAnsi="Times New Roman" w:cs="Times New Roman"/>
          <w:b/>
          <w:sz w:val="32"/>
          <w:szCs w:val="32"/>
        </w:rPr>
      </w:pPr>
      <w:r w:rsidRPr="009A6039">
        <w:rPr>
          <w:rFonts w:ascii="Times New Roman" w:hAnsi="Times New Roman" w:cs="Times New Roman"/>
          <w:b/>
          <w:sz w:val="32"/>
          <w:szCs w:val="32"/>
        </w:rPr>
        <w:t>ВОДЕНО ОТ ОБЩНОСТИТЕ МЕСТНО РАЗВИТИЕ</w:t>
      </w:r>
    </w:p>
    <w:p w14:paraId="0EC1F1C5" w14:textId="77777777" w:rsidR="000828B4" w:rsidRPr="000828B4" w:rsidRDefault="000828B4" w:rsidP="000828B4">
      <w:pPr>
        <w:rPr>
          <w:rFonts w:ascii="Times New Roman" w:hAnsi="Times New Roman" w:cs="Times New Roman"/>
          <w:b/>
          <w:sz w:val="40"/>
          <w:szCs w:val="40"/>
        </w:rPr>
      </w:pPr>
    </w:p>
    <w:p w14:paraId="4164D2B5" w14:textId="77777777" w:rsidR="000828B4" w:rsidRPr="000828B4" w:rsidRDefault="000828B4" w:rsidP="000828B4">
      <w:pPr>
        <w:rPr>
          <w:rFonts w:ascii="Times New Roman" w:hAnsi="Times New Roman" w:cs="Times New Roman"/>
          <w:b/>
          <w:sz w:val="40"/>
          <w:szCs w:val="40"/>
        </w:rPr>
      </w:pPr>
    </w:p>
    <w:p w14:paraId="0F317C1B" w14:textId="77777777" w:rsidR="009A6039" w:rsidRPr="000128DA" w:rsidRDefault="009A6039" w:rsidP="009A6039">
      <w:pPr>
        <w:pBdr>
          <w:top w:val="single" w:sz="4" w:space="1" w:color="auto"/>
          <w:left w:val="single" w:sz="4" w:space="4" w:color="auto"/>
          <w:bottom w:val="single" w:sz="4" w:space="1" w:color="auto"/>
          <w:right w:val="single" w:sz="4" w:space="4" w:color="auto"/>
        </w:pBdr>
        <w:shd w:val="clear" w:color="auto" w:fill="E7E6E6" w:themeFill="background2"/>
        <w:spacing w:after="0"/>
        <w:jc w:val="center"/>
        <w:rPr>
          <w:rFonts w:ascii="Times New Roman" w:hAnsi="Times New Roman" w:cs="Times New Roman"/>
          <w:b/>
          <w:color w:val="FF0000"/>
          <w:sz w:val="28"/>
          <w:szCs w:val="28"/>
        </w:rPr>
      </w:pPr>
    </w:p>
    <w:p w14:paraId="21D10D7B" w14:textId="37276A89" w:rsidR="00903565" w:rsidRPr="000128DA" w:rsidRDefault="00903565" w:rsidP="00903565">
      <w:pPr>
        <w:pBdr>
          <w:top w:val="single" w:sz="4" w:space="1" w:color="auto"/>
          <w:left w:val="single" w:sz="4" w:space="4" w:color="auto"/>
          <w:bottom w:val="single" w:sz="4" w:space="1" w:color="auto"/>
          <w:right w:val="single" w:sz="4" w:space="4" w:color="auto"/>
        </w:pBdr>
        <w:shd w:val="clear" w:color="auto" w:fill="E7E6E6" w:themeFill="background2"/>
        <w:spacing w:after="0"/>
        <w:jc w:val="center"/>
        <w:rPr>
          <w:rFonts w:ascii="Times New Roman" w:hAnsi="Times New Roman" w:cs="Times New Roman"/>
          <w:b/>
          <w:color w:val="FF0000"/>
          <w:sz w:val="28"/>
          <w:szCs w:val="28"/>
        </w:rPr>
      </w:pPr>
      <w:r w:rsidRPr="000128DA">
        <w:rPr>
          <w:rFonts w:ascii="Times New Roman" w:hAnsi="Times New Roman" w:cs="Times New Roman"/>
          <w:b/>
          <w:sz w:val="28"/>
          <w:szCs w:val="28"/>
        </w:rPr>
        <w:t xml:space="preserve">МИГ ПОМОРИЕ </w:t>
      </w:r>
      <w:r w:rsidR="000128DA" w:rsidRPr="000128DA">
        <w:rPr>
          <w:rFonts w:ascii="Times New Roman" w:hAnsi="Times New Roman" w:cs="Times New Roman"/>
          <w:b/>
          <w:sz w:val="28"/>
          <w:szCs w:val="28"/>
        </w:rPr>
        <w:t>BG16RFOP002-1.028</w:t>
      </w:r>
    </w:p>
    <w:p w14:paraId="53F42FD0" w14:textId="7AB49D4E" w:rsidR="000828B4" w:rsidRDefault="00C941CB" w:rsidP="00903565">
      <w:pPr>
        <w:pBdr>
          <w:top w:val="single" w:sz="4" w:space="1" w:color="auto"/>
          <w:left w:val="single" w:sz="4" w:space="4" w:color="auto"/>
          <w:bottom w:val="single" w:sz="4" w:space="1" w:color="auto"/>
          <w:right w:val="single" w:sz="4" w:space="4" w:color="auto"/>
        </w:pBdr>
        <w:shd w:val="clear" w:color="auto" w:fill="E7E6E6" w:themeFill="background2"/>
        <w:spacing w:after="0"/>
        <w:jc w:val="center"/>
        <w:rPr>
          <w:rFonts w:ascii="Times New Roman" w:hAnsi="Times New Roman" w:cs="Times New Roman"/>
          <w:b/>
          <w:sz w:val="28"/>
          <w:szCs w:val="28"/>
        </w:rPr>
      </w:pPr>
      <w:r>
        <w:rPr>
          <w:rFonts w:ascii="Times New Roman" w:hAnsi="Times New Roman" w:cs="Times New Roman"/>
          <w:b/>
          <w:sz w:val="28"/>
          <w:szCs w:val="28"/>
        </w:rPr>
        <w:t>МЯРКА 11:</w:t>
      </w:r>
      <w:r w:rsidR="009A6039" w:rsidRPr="00856211">
        <w:rPr>
          <w:rFonts w:ascii="Times New Roman" w:hAnsi="Times New Roman" w:cs="Times New Roman"/>
          <w:b/>
          <w:sz w:val="28"/>
          <w:szCs w:val="28"/>
        </w:rPr>
        <w:t>“ТЕХНОЛОГИЧНО РАЗВИТИЕ И ИНОВАЦИИ”</w:t>
      </w:r>
    </w:p>
    <w:p w14:paraId="7872D34C" w14:textId="77777777" w:rsidR="009A6039" w:rsidRDefault="009A6039" w:rsidP="009A6039">
      <w:pPr>
        <w:pBdr>
          <w:top w:val="single" w:sz="4" w:space="1" w:color="auto"/>
          <w:left w:val="single" w:sz="4" w:space="4" w:color="auto"/>
          <w:bottom w:val="single" w:sz="4" w:space="1" w:color="auto"/>
          <w:right w:val="single" w:sz="4" w:space="4" w:color="auto"/>
        </w:pBdr>
        <w:shd w:val="clear" w:color="auto" w:fill="E7E6E6" w:themeFill="background2"/>
        <w:spacing w:after="0"/>
        <w:jc w:val="center"/>
        <w:rPr>
          <w:rFonts w:ascii="Times New Roman" w:hAnsi="Times New Roman" w:cs="Times New Roman"/>
          <w:b/>
          <w:sz w:val="28"/>
          <w:szCs w:val="28"/>
        </w:rPr>
      </w:pPr>
    </w:p>
    <w:p w14:paraId="795BD03A" w14:textId="77777777" w:rsidR="009A6039" w:rsidRDefault="009A6039" w:rsidP="000828B4">
      <w:pPr>
        <w:rPr>
          <w:rFonts w:ascii="Times New Roman" w:hAnsi="Times New Roman" w:cs="Times New Roman"/>
          <w:b/>
          <w:sz w:val="28"/>
          <w:szCs w:val="28"/>
        </w:rPr>
      </w:pPr>
    </w:p>
    <w:p w14:paraId="52503DC0" w14:textId="77777777" w:rsidR="009A6039" w:rsidRDefault="009A6039" w:rsidP="000828B4">
      <w:pPr>
        <w:rPr>
          <w:rFonts w:ascii="Times New Roman" w:hAnsi="Times New Roman" w:cs="Times New Roman"/>
          <w:b/>
          <w:sz w:val="28"/>
          <w:szCs w:val="28"/>
        </w:rPr>
      </w:pPr>
    </w:p>
    <w:p w14:paraId="6B5DD22D" w14:textId="77777777" w:rsidR="009A6039" w:rsidRDefault="009A6039" w:rsidP="000828B4">
      <w:pPr>
        <w:rPr>
          <w:rFonts w:ascii="Times New Roman" w:hAnsi="Times New Roman" w:cs="Times New Roman"/>
          <w:b/>
          <w:sz w:val="28"/>
          <w:szCs w:val="28"/>
        </w:rPr>
      </w:pPr>
    </w:p>
    <w:p w14:paraId="095509FA" w14:textId="77777777" w:rsidR="009A6039" w:rsidRDefault="009A6039" w:rsidP="000828B4">
      <w:pPr>
        <w:rPr>
          <w:rFonts w:ascii="Times New Roman" w:hAnsi="Times New Roman" w:cs="Times New Roman"/>
          <w:b/>
          <w:sz w:val="28"/>
          <w:szCs w:val="28"/>
        </w:rPr>
      </w:pPr>
    </w:p>
    <w:p w14:paraId="1E6C7897" w14:textId="77777777" w:rsidR="009A6039" w:rsidRDefault="009A6039" w:rsidP="000828B4">
      <w:pPr>
        <w:rPr>
          <w:rFonts w:ascii="Times New Roman" w:hAnsi="Times New Roman" w:cs="Times New Roman"/>
          <w:b/>
          <w:sz w:val="28"/>
          <w:szCs w:val="28"/>
        </w:rPr>
      </w:pPr>
    </w:p>
    <w:p w14:paraId="425AF83F" w14:textId="77777777" w:rsidR="009A6039" w:rsidRDefault="009A6039" w:rsidP="000828B4">
      <w:pPr>
        <w:rPr>
          <w:rFonts w:ascii="Times New Roman" w:hAnsi="Times New Roman" w:cs="Times New Roman"/>
          <w:b/>
          <w:sz w:val="28"/>
          <w:szCs w:val="28"/>
        </w:rPr>
      </w:pPr>
    </w:p>
    <w:p w14:paraId="36F255FD" w14:textId="77777777" w:rsidR="009A6039" w:rsidRDefault="009A6039" w:rsidP="000828B4">
      <w:pPr>
        <w:rPr>
          <w:rFonts w:ascii="Times New Roman" w:hAnsi="Times New Roman" w:cs="Times New Roman"/>
          <w:b/>
          <w:sz w:val="28"/>
          <w:szCs w:val="28"/>
        </w:rPr>
      </w:pPr>
    </w:p>
    <w:p w14:paraId="245EE94B" w14:textId="77777777" w:rsidR="00771A28" w:rsidRDefault="00771A28" w:rsidP="000828B4">
      <w:pPr>
        <w:rPr>
          <w:rFonts w:ascii="Times New Roman" w:hAnsi="Times New Roman" w:cs="Times New Roman"/>
          <w:b/>
          <w:sz w:val="28"/>
          <w:szCs w:val="28"/>
        </w:rPr>
      </w:pPr>
    </w:p>
    <w:p w14:paraId="46AA2489" w14:textId="77777777" w:rsidR="0080272C" w:rsidRDefault="0080272C" w:rsidP="000828B4">
      <w:pPr>
        <w:rPr>
          <w:rFonts w:ascii="Times New Roman" w:hAnsi="Times New Roman" w:cs="Times New Roman"/>
          <w:b/>
          <w:sz w:val="28"/>
          <w:szCs w:val="28"/>
        </w:rPr>
      </w:pPr>
    </w:p>
    <w:p w14:paraId="08487DEE" w14:textId="77777777" w:rsidR="0080272C" w:rsidRDefault="0080272C" w:rsidP="000828B4">
      <w:pPr>
        <w:rPr>
          <w:rFonts w:ascii="Times New Roman" w:hAnsi="Times New Roman" w:cs="Times New Roman"/>
          <w:b/>
          <w:sz w:val="28"/>
          <w:szCs w:val="28"/>
        </w:rPr>
      </w:pPr>
      <w:bookmarkStart w:id="0" w:name="_GoBack"/>
      <w:bookmarkEnd w:id="0"/>
    </w:p>
    <w:sdt>
      <w:sdtPr>
        <w:rPr>
          <w:rFonts w:asciiTheme="minorHAnsi" w:eastAsiaTheme="minorHAnsi" w:hAnsiTheme="minorHAnsi" w:cstheme="minorBidi"/>
          <w:color w:val="auto"/>
          <w:sz w:val="22"/>
          <w:szCs w:val="22"/>
          <w:lang w:eastAsia="en-US"/>
        </w:rPr>
        <w:id w:val="-1551527146"/>
        <w:docPartObj>
          <w:docPartGallery w:val="Table of Contents"/>
          <w:docPartUnique/>
        </w:docPartObj>
      </w:sdtPr>
      <w:sdtEndPr>
        <w:rPr>
          <w:b/>
          <w:bCs/>
        </w:rPr>
      </w:sdtEndPr>
      <w:sdtContent>
        <w:p w14:paraId="57F856A5" w14:textId="36FFF85D" w:rsidR="00771A28" w:rsidRPr="00771A28" w:rsidRDefault="00771A28">
          <w:pPr>
            <w:pStyle w:val="af"/>
            <w:rPr>
              <w:rFonts w:ascii="Times New Roman" w:hAnsi="Times New Roman" w:cs="Times New Roman"/>
            </w:rPr>
          </w:pPr>
          <w:r w:rsidRPr="00771A28">
            <w:rPr>
              <w:rFonts w:ascii="Times New Roman" w:hAnsi="Times New Roman" w:cs="Times New Roman"/>
            </w:rPr>
            <w:t>Съдържание</w:t>
          </w:r>
        </w:p>
        <w:p w14:paraId="2A2E12E1" w14:textId="4427E34A" w:rsidR="00771A28" w:rsidRDefault="00771A28">
          <w:pPr>
            <w:pStyle w:val="11"/>
            <w:tabs>
              <w:tab w:val="right" w:leader="dot" w:pos="9062"/>
            </w:tabs>
            <w:rPr>
              <w:rFonts w:eastAsiaTheme="minorEastAsia"/>
              <w:noProof/>
              <w:lang w:eastAsia="bg-BG"/>
            </w:rPr>
          </w:pPr>
          <w:r>
            <w:fldChar w:fldCharType="begin"/>
          </w:r>
          <w:r>
            <w:instrText xml:space="preserve"> TOC \o "1-3" \h \z \u </w:instrText>
          </w:r>
          <w:r>
            <w:fldChar w:fldCharType="separate"/>
          </w:r>
          <w:hyperlink w:anchor="_Toc491084036" w:history="1">
            <w:r w:rsidRPr="006B3856">
              <w:rPr>
                <w:rStyle w:val="ae"/>
                <w:rFonts w:ascii="Times New Roman" w:hAnsi="Times New Roman" w:cs="Times New Roman"/>
                <w:b/>
                <w:noProof/>
              </w:rPr>
              <w:t>1. Техническо изпълнение на проектите</w:t>
            </w:r>
            <w:r>
              <w:rPr>
                <w:noProof/>
                <w:webHidden/>
              </w:rPr>
              <w:tab/>
            </w:r>
            <w:r>
              <w:rPr>
                <w:noProof/>
                <w:webHidden/>
              </w:rPr>
              <w:fldChar w:fldCharType="begin"/>
            </w:r>
            <w:r>
              <w:rPr>
                <w:noProof/>
                <w:webHidden/>
              </w:rPr>
              <w:instrText xml:space="preserve"> PAGEREF _Toc491084036 \h </w:instrText>
            </w:r>
            <w:r>
              <w:rPr>
                <w:noProof/>
                <w:webHidden/>
              </w:rPr>
            </w:r>
            <w:r>
              <w:rPr>
                <w:noProof/>
                <w:webHidden/>
              </w:rPr>
              <w:fldChar w:fldCharType="separate"/>
            </w:r>
            <w:r w:rsidR="00161C76">
              <w:rPr>
                <w:noProof/>
                <w:webHidden/>
              </w:rPr>
              <w:t>2</w:t>
            </w:r>
            <w:r>
              <w:rPr>
                <w:noProof/>
                <w:webHidden/>
              </w:rPr>
              <w:fldChar w:fldCharType="end"/>
            </w:r>
          </w:hyperlink>
        </w:p>
        <w:p w14:paraId="4497094B" w14:textId="494766AC" w:rsidR="00771A28" w:rsidRDefault="003010C6">
          <w:pPr>
            <w:pStyle w:val="11"/>
            <w:tabs>
              <w:tab w:val="right" w:leader="dot" w:pos="9062"/>
            </w:tabs>
            <w:rPr>
              <w:rFonts w:eastAsiaTheme="minorEastAsia"/>
              <w:noProof/>
              <w:lang w:eastAsia="bg-BG"/>
            </w:rPr>
          </w:pPr>
          <w:hyperlink w:anchor="_Toc491084037" w:history="1">
            <w:r w:rsidR="00771A28" w:rsidRPr="006B3856">
              <w:rPr>
                <w:rStyle w:val="ae"/>
                <w:rFonts w:ascii="Times New Roman" w:hAnsi="Times New Roman" w:cs="Times New Roman"/>
                <w:b/>
                <w:noProof/>
              </w:rPr>
              <w:t>2. Финансово изпълнение на проектите и плащане</w:t>
            </w:r>
            <w:r w:rsidR="00771A28">
              <w:rPr>
                <w:noProof/>
                <w:webHidden/>
              </w:rPr>
              <w:tab/>
            </w:r>
            <w:r w:rsidR="00771A28">
              <w:rPr>
                <w:noProof/>
                <w:webHidden/>
              </w:rPr>
              <w:fldChar w:fldCharType="begin"/>
            </w:r>
            <w:r w:rsidR="00771A28">
              <w:rPr>
                <w:noProof/>
                <w:webHidden/>
              </w:rPr>
              <w:instrText xml:space="preserve"> PAGEREF _Toc491084037 \h </w:instrText>
            </w:r>
            <w:r w:rsidR="00771A28">
              <w:rPr>
                <w:noProof/>
                <w:webHidden/>
              </w:rPr>
            </w:r>
            <w:r w:rsidR="00771A28">
              <w:rPr>
                <w:noProof/>
                <w:webHidden/>
              </w:rPr>
              <w:fldChar w:fldCharType="separate"/>
            </w:r>
            <w:r w:rsidR="00161C76">
              <w:rPr>
                <w:noProof/>
                <w:webHidden/>
              </w:rPr>
              <w:t>5</w:t>
            </w:r>
            <w:r w:rsidR="00771A28">
              <w:rPr>
                <w:noProof/>
                <w:webHidden/>
              </w:rPr>
              <w:fldChar w:fldCharType="end"/>
            </w:r>
          </w:hyperlink>
        </w:p>
        <w:p w14:paraId="714C6DFE" w14:textId="533AB7B0" w:rsidR="00771A28" w:rsidRDefault="003010C6">
          <w:pPr>
            <w:pStyle w:val="11"/>
            <w:tabs>
              <w:tab w:val="right" w:leader="dot" w:pos="9062"/>
            </w:tabs>
            <w:rPr>
              <w:rFonts w:eastAsiaTheme="minorEastAsia"/>
              <w:noProof/>
              <w:lang w:eastAsia="bg-BG"/>
            </w:rPr>
          </w:pPr>
          <w:hyperlink w:anchor="_Toc491084038" w:history="1">
            <w:r w:rsidR="00771A28" w:rsidRPr="006B3856">
              <w:rPr>
                <w:rStyle w:val="ae"/>
                <w:rFonts w:ascii="Times New Roman" w:hAnsi="Times New Roman" w:cs="Times New Roman"/>
                <w:b/>
                <w:noProof/>
              </w:rPr>
              <w:t>3. Мерки за информиране и публичност</w:t>
            </w:r>
            <w:r w:rsidR="00771A28">
              <w:rPr>
                <w:noProof/>
                <w:webHidden/>
              </w:rPr>
              <w:tab/>
            </w:r>
            <w:r w:rsidR="00771A28">
              <w:rPr>
                <w:noProof/>
                <w:webHidden/>
              </w:rPr>
              <w:fldChar w:fldCharType="begin"/>
            </w:r>
            <w:r w:rsidR="00771A28">
              <w:rPr>
                <w:noProof/>
                <w:webHidden/>
              </w:rPr>
              <w:instrText xml:space="preserve"> PAGEREF _Toc491084038 \h </w:instrText>
            </w:r>
            <w:r w:rsidR="00771A28">
              <w:rPr>
                <w:noProof/>
                <w:webHidden/>
              </w:rPr>
            </w:r>
            <w:r w:rsidR="00771A28">
              <w:rPr>
                <w:noProof/>
                <w:webHidden/>
              </w:rPr>
              <w:fldChar w:fldCharType="separate"/>
            </w:r>
            <w:r w:rsidR="00161C76">
              <w:rPr>
                <w:noProof/>
                <w:webHidden/>
              </w:rPr>
              <w:t>8</w:t>
            </w:r>
            <w:r w:rsidR="00771A28">
              <w:rPr>
                <w:noProof/>
                <w:webHidden/>
              </w:rPr>
              <w:fldChar w:fldCharType="end"/>
            </w:r>
          </w:hyperlink>
        </w:p>
        <w:p w14:paraId="1C248AC2" w14:textId="0EA5C7A9" w:rsidR="00771A28" w:rsidRDefault="003010C6">
          <w:pPr>
            <w:pStyle w:val="11"/>
            <w:tabs>
              <w:tab w:val="right" w:leader="dot" w:pos="9062"/>
            </w:tabs>
            <w:rPr>
              <w:rFonts w:eastAsiaTheme="minorEastAsia"/>
              <w:noProof/>
              <w:lang w:eastAsia="bg-BG"/>
            </w:rPr>
          </w:pPr>
          <w:hyperlink w:anchor="_Toc491084039" w:history="1">
            <w:r w:rsidR="00771A28" w:rsidRPr="006B3856">
              <w:rPr>
                <w:rStyle w:val="ae"/>
                <w:rFonts w:ascii="Times New Roman" w:hAnsi="Times New Roman" w:cs="Times New Roman"/>
                <w:b/>
                <w:noProof/>
              </w:rPr>
              <w:t>4. Приложения към Условията за изпълнение – списъкът не е изчерпателен.</w:t>
            </w:r>
            <w:r w:rsidR="00771A28">
              <w:rPr>
                <w:noProof/>
                <w:webHidden/>
              </w:rPr>
              <w:tab/>
            </w:r>
            <w:r w:rsidR="00771A28">
              <w:rPr>
                <w:noProof/>
                <w:webHidden/>
              </w:rPr>
              <w:fldChar w:fldCharType="begin"/>
            </w:r>
            <w:r w:rsidR="00771A28">
              <w:rPr>
                <w:noProof/>
                <w:webHidden/>
              </w:rPr>
              <w:instrText xml:space="preserve"> PAGEREF _Toc491084039 \h </w:instrText>
            </w:r>
            <w:r w:rsidR="00771A28">
              <w:rPr>
                <w:noProof/>
                <w:webHidden/>
              </w:rPr>
            </w:r>
            <w:r w:rsidR="00771A28">
              <w:rPr>
                <w:noProof/>
                <w:webHidden/>
              </w:rPr>
              <w:fldChar w:fldCharType="separate"/>
            </w:r>
            <w:r w:rsidR="00161C76">
              <w:rPr>
                <w:noProof/>
                <w:webHidden/>
              </w:rPr>
              <w:t>10</w:t>
            </w:r>
            <w:r w:rsidR="00771A28">
              <w:rPr>
                <w:noProof/>
                <w:webHidden/>
              </w:rPr>
              <w:fldChar w:fldCharType="end"/>
            </w:r>
          </w:hyperlink>
        </w:p>
        <w:p w14:paraId="09D9A13B" w14:textId="52DDBBF4" w:rsidR="009A6039" w:rsidRPr="00771A28" w:rsidRDefault="00771A28" w:rsidP="000828B4">
          <w:r>
            <w:rPr>
              <w:b/>
              <w:bCs/>
            </w:rPr>
            <w:fldChar w:fldCharType="end"/>
          </w:r>
        </w:p>
      </w:sdtContent>
    </w:sdt>
    <w:p w14:paraId="21C39AC7" w14:textId="77777777" w:rsidR="00A8323A" w:rsidRDefault="00A8323A" w:rsidP="00E36814">
      <w:pPr>
        <w:pStyle w:val="1"/>
        <w:rPr>
          <w:rFonts w:ascii="Times New Roman" w:hAnsi="Times New Roman" w:cs="Times New Roman"/>
          <w:b/>
          <w:sz w:val="24"/>
          <w:szCs w:val="24"/>
        </w:rPr>
      </w:pPr>
      <w:bookmarkStart w:id="1" w:name="_Toc491084036"/>
    </w:p>
    <w:p w14:paraId="68157FEF" w14:textId="77777777" w:rsidR="00A8323A" w:rsidRDefault="00A8323A" w:rsidP="00E36814">
      <w:pPr>
        <w:pStyle w:val="1"/>
        <w:rPr>
          <w:rFonts w:ascii="Times New Roman" w:hAnsi="Times New Roman" w:cs="Times New Roman"/>
          <w:b/>
          <w:sz w:val="24"/>
          <w:szCs w:val="24"/>
        </w:rPr>
      </w:pPr>
    </w:p>
    <w:p w14:paraId="3EE99E92" w14:textId="77777777" w:rsidR="00EB192A" w:rsidRDefault="00EB192A" w:rsidP="004B5999"/>
    <w:p w14:paraId="23752C1F" w14:textId="77777777" w:rsidR="00EB192A" w:rsidRDefault="00EB192A" w:rsidP="004B5999"/>
    <w:p w14:paraId="612A5602" w14:textId="77777777" w:rsidR="00EB192A" w:rsidRDefault="00EB192A" w:rsidP="004B5999"/>
    <w:p w14:paraId="7B55A12A" w14:textId="77777777" w:rsidR="00C941CB" w:rsidRDefault="00C941CB" w:rsidP="004B5999"/>
    <w:p w14:paraId="1F14B761" w14:textId="77777777" w:rsidR="00C941CB" w:rsidRDefault="00C941CB" w:rsidP="004B5999"/>
    <w:p w14:paraId="78CBC619" w14:textId="77777777" w:rsidR="00C941CB" w:rsidRDefault="00C941CB" w:rsidP="004B5999"/>
    <w:p w14:paraId="3C7BA053" w14:textId="77777777" w:rsidR="00C941CB" w:rsidRDefault="00C941CB" w:rsidP="004B5999"/>
    <w:p w14:paraId="6DC251B6" w14:textId="77777777" w:rsidR="00C941CB" w:rsidRDefault="00C941CB" w:rsidP="004B5999"/>
    <w:p w14:paraId="52C5B0D9" w14:textId="77777777" w:rsidR="00C941CB" w:rsidRDefault="00C941CB" w:rsidP="004B5999"/>
    <w:p w14:paraId="051E46E2" w14:textId="77777777" w:rsidR="00C941CB" w:rsidRDefault="00C941CB" w:rsidP="004B5999"/>
    <w:p w14:paraId="7591FB9A" w14:textId="77777777" w:rsidR="00C941CB" w:rsidRDefault="00C941CB" w:rsidP="004B5999"/>
    <w:p w14:paraId="7C6E494A" w14:textId="77777777" w:rsidR="00C941CB" w:rsidRDefault="00C941CB" w:rsidP="004B5999"/>
    <w:p w14:paraId="2DFE8FF3" w14:textId="77777777" w:rsidR="00C941CB" w:rsidRDefault="00C941CB" w:rsidP="004B5999"/>
    <w:p w14:paraId="19E51EB1" w14:textId="77777777" w:rsidR="00C941CB" w:rsidRDefault="00C941CB" w:rsidP="004B5999"/>
    <w:p w14:paraId="05D735BC" w14:textId="77777777" w:rsidR="00C941CB" w:rsidRDefault="00C941CB" w:rsidP="004B5999"/>
    <w:p w14:paraId="2C352113" w14:textId="77777777" w:rsidR="00C941CB" w:rsidRDefault="00C941CB" w:rsidP="004B5999"/>
    <w:p w14:paraId="0D429D16" w14:textId="77777777" w:rsidR="00C941CB" w:rsidRDefault="00C941CB" w:rsidP="004B5999"/>
    <w:p w14:paraId="4F911DE6" w14:textId="77777777" w:rsidR="00C941CB" w:rsidRDefault="00C941CB" w:rsidP="004B5999"/>
    <w:p w14:paraId="0D34D048" w14:textId="77777777" w:rsidR="00C941CB" w:rsidRDefault="00C941CB" w:rsidP="004B5999"/>
    <w:p w14:paraId="3E2717D3" w14:textId="77777777" w:rsidR="00C941CB" w:rsidRDefault="00C941CB" w:rsidP="004B5999"/>
    <w:p w14:paraId="7CC9BFEF" w14:textId="77777777" w:rsidR="00C941CB" w:rsidRDefault="00C941CB" w:rsidP="004B5999"/>
    <w:p w14:paraId="1D50A669" w14:textId="77777777" w:rsidR="00EB192A" w:rsidRDefault="00EB192A" w:rsidP="004B5999"/>
    <w:p w14:paraId="20EC23D3" w14:textId="102925A1" w:rsidR="00161C76" w:rsidRPr="00C941CB" w:rsidRDefault="003B6598" w:rsidP="00EC4EF5">
      <w:pPr>
        <w:pStyle w:val="1"/>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sz w:val="24"/>
          <w:szCs w:val="24"/>
        </w:rPr>
      </w:pPr>
      <w:r w:rsidRPr="003B6598">
        <w:rPr>
          <w:rFonts w:ascii="Times New Roman" w:hAnsi="Times New Roman" w:cs="Times New Roman"/>
          <w:color w:val="auto"/>
          <w:sz w:val="24"/>
          <w:szCs w:val="24"/>
        </w:rPr>
        <w:t>Изпълнението на отделните проекти в рамките на стратегиите за ВОМР се извършва при спазване на изискванията на УО на ОПИК.</w:t>
      </w:r>
      <w:r>
        <w:rPr>
          <w:rFonts w:ascii="Times New Roman" w:hAnsi="Times New Roman" w:cs="Times New Roman"/>
          <w:color w:val="auto"/>
          <w:sz w:val="24"/>
          <w:szCs w:val="24"/>
        </w:rPr>
        <w:t xml:space="preserve"> </w:t>
      </w:r>
      <w:r w:rsidR="00161C76" w:rsidRPr="00C941CB">
        <w:rPr>
          <w:rFonts w:ascii="Times New Roman" w:hAnsi="Times New Roman" w:cs="Times New Roman"/>
          <w:color w:val="auto"/>
          <w:sz w:val="24"/>
          <w:szCs w:val="24"/>
        </w:rPr>
        <w:t xml:space="preserve">Мониторинг върху изпълнението на проект в рамките на стратегия за ВОМР се извършва от МИГ и от органите, отговорни за управлението и контрола на оперативната програма. </w:t>
      </w:r>
      <w:r w:rsidR="00C941CB" w:rsidRPr="00C941CB">
        <w:rPr>
          <w:rFonts w:ascii="Times New Roman" w:hAnsi="Times New Roman" w:cs="Times New Roman"/>
          <w:color w:val="auto"/>
          <w:sz w:val="24"/>
          <w:szCs w:val="24"/>
        </w:rPr>
        <w:t xml:space="preserve">Всеки бенефициент </w:t>
      </w:r>
      <w:r w:rsidR="00C941CB" w:rsidRPr="00EC4EF5">
        <w:rPr>
          <w:rFonts w:ascii="Times New Roman" w:hAnsi="Times New Roman" w:cs="Times New Roman"/>
          <w:b/>
          <w:color w:val="auto"/>
          <w:sz w:val="24"/>
          <w:szCs w:val="24"/>
        </w:rPr>
        <w:t>се задължава</w:t>
      </w:r>
      <w:r w:rsidR="00C941CB" w:rsidRPr="00C941CB">
        <w:rPr>
          <w:rFonts w:ascii="Times New Roman" w:hAnsi="Times New Roman" w:cs="Times New Roman"/>
          <w:color w:val="auto"/>
          <w:sz w:val="24"/>
          <w:szCs w:val="24"/>
        </w:rPr>
        <w:t xml:space="preserve"> след сключване на Административен договор за БФП да създаде „код за достъп“ в секция „Договори“ в ИСУН с права „четене“ на служител/и на МИГ във връзка с изпълнение на задълженията им по чл. 51 на ПМС 161/2016.</w:t>
      </w:r>
    </w:p>
    <w:p w14:paraId="5C8D1207" w14:textId="587AECD8" w:rsidR="00161C76" w:rsidRPr="00EC4EF5" w:rsidRDefault="00161C76" w:rsidP="00EC4EF5">
      <w:pPr>
        <w:pStyle w:val="1"/>
        <w:pBdr>
          <w:top w:val="single" w:sz="4" w:space="1" w:color="auto"/>
          <w:left w:val="single" w:sz="4" w:space="4" w:color="auto"/>
          <w:bottom w:val="single" w:sz="4" w:space="1" w:color="auto"/>
          <w:right w:val="single" w:sz="4" w:space="4" w:color="auto"/>
        </w:pBdr>
        <w:jc w:val="both"/>
        <w:rPr>
          <w:rFonts w:ascii="Times New Roman" w:hAnsi="Times New Roman" w:cs="Times New Roman"/>
          <w:color w:val="auto"/>
          <w:sz w:val="24"/>
          <w:szCs w:val="24"/>
        </w:rPr>
      </w:pPr>
      <w:r w:rsidRPr="00C941CB">
        <w:rPr>
          <w:rFonts w:ascii="Times New Roman" w:hAnsi="Times New Roman" w:cs="Times New Roman"/>
          <w:color w:val="auto"/>
          <w:sz w:val="24"/>
          <w:szCs w:val="24"/>
        </w:rPr>
        <w:t>Във връзка с извършването на мониторинг на одобрените проекти МИГ изисква от бенефициентите информация. При установяване на затруднения за изпълнение на проектите и целите на стратегията МИГ докладва на УО на програмата и предлага мерки за преодоляването им.</w:t>
      </w:r>
    </w:p>
    <w:p w14:paraId="712A685B" w14:textId="49583876" w:rsidR="00EB192A" w:rsidRDefault="00161C76" w:rsidP="00EC4EF5">
      <w:pPr>
        <w:pBdr>
          <w:top w:val="single" w:sz="4" w:space="1" w:color="auto"/>
          <w:left w:val="single" w:sz="4" w:space="4" w:color="auto"/>
          <w:bottom w:val="single" w:sz="4" w:space="1" w:color="auto"/>
          <w:right w:val="single" w:sz="4" w:space="4" w:color="auto"/>
        </w:pBdr>
      </w:pPr>
      <w:r w:rsidRPr="00C941CB">
        <w:rPr>
          <w:rFonts w:ascii="Times New Roman" w:hAnsi="Times New Roman" w:cs="Times New Roman"/>
          <w:sz w:val="24"/>
          <w:szCs w:val="24"/>
        </w:rPr>
        <w:t>Управляващият орган на ОПИК може едностранно да прекрати договор с бенефициент по реда на чл. 39, ал. 3-5 от ЗУСЕСИФ.</w:t>
      </w:r>
    </w:p>
    <w:p w14:paraId="2E14E9ED" w14:textId="77777777" w:rsidR="000828B4" w:rsidRPr="00E36814" w:rsidRDefault="000828B4" w:rsidP="00E36814">
      <w:pPr>
        <w:pStyle w:val="1"/>
        <w:rPr>
          <w:rFonts w:ascii="Times New Roman" w:hAnsi="Times New Roman" w:cs="Times New Roman"/>
          <w:b/>
          <w:sz w:val="24"/>
          <w:szCs w:val="24"/>
        </w:rPr>
      </w:pPr>
      <w:r w:rsidRPr="00E36814">
        <w:rPr>
          <w:rFonts w:ascii="Times New Roman" w:hAnsi="Times New Roman" w:cs="Times New Roman"/>
          <w:b/>
          <w:sz w:val="24"/>
          <w:szCs w:val="24"/>
        </w:rPr>
        <w:t>1. Техническо изпълнение на проектите</w:t>
      </w:r>
      <w:bookmarkEnd w:id="1"/>
    </w:p>
    <w:p w14:paraId="1DFDCE80"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 xml:space="preserve">В процеса на изпълнение на проектите бенефициентите могат да възлагат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ЕСИФ. </w:t>
      </w:r>
    </w:p>
    <w:p w14:paraId="262E7DC4" w14:textId="77777777" w:rsidR="00C941CB" w:rsidRPr="00C941CB" w:rsidRDefault="00C941CB" w:rsidP="00C941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941CB">
        <w:rPr>
          <w:rFonts w:ascii="Times New Roman" w:hAnsi="Times New Roman" w:cs="Times New Roman"/>
          <w:sz w:val="24"/>
          <w:szCs w:val="24"/>
        </w:rPr>
        <w:t xml:space="preserve">В случаите, когато бенефициентът е възложител по смисъла на ЗОП, при избор на изпълнител/и същият задължително прилага разпоредбите на ЗОП и актовете по прилагането му, както и указанията, заложени </w:t>
      </w:r>
      <w:r w:rsidRPr="00EC4EF5">
        <w:rPr>
          <w:rFonts w:ascii="Times New Roman" w:hAnsi="Times New Roman" w:cs="Times New Roman"/>
          <w:b/>
          <w:sz w:val="24"/>
          <w:szCs w:val="24"/>
        </w:rPr>
        <w:t>в Ръководството за изпълнение на договор за БФП по Оперативна програма "Иновации и конкурентоспособност" 2014-2020</w:t>
      </w:r>
      <w:r w:rsidRPr="00C941CB">
        <w:rPr>
          <w:rFonts w:ascii="Times New Roman" w:hAnsi="Times New Roman" w:cs="Times New Roman"/>
          <w:sz w:val="24"/>
          <w:szCs w:val="24"/>
        </w:rPr>
        <w:t xml:space="preserve"> (което може да бъде намерено на интернет страницата на Управляващия орган:</w:t>
      </w:r>
    </w:p>
    <w:p w14:paraId="544F980A" w14:textId="7C36B022" w:rsidR="000828B4" w:rsidRPr="000828B4" w:rsidRDefault="003010C6" w:rsidP="00C941C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hyperlink r:id="rId7" w:history="1">
        <w:r w:rsidR="00C941CB" w:rsidRPr="00127A4C">
          <w:rPr>
            <w:rStyle w:val="ae"/>
            <w:rFonts w:ascii="Times New Roman" w:hAnsi="Times New Roman" w:cs="Times New Roman"/>
            <w:sz w:val="24"/>
            <w:szCs w:val="24"/>
          </w:rPr>
          <w:t>http://opic.bg/opik/rkovodstvo-za-izplnenie-na-dbfp-po-operativna-programa-inovatsii-i-konkurentosposobnost-2014-2020</w:t>
        </w:r>
      </w:hyperlink>
      <w:r w:rsidR="00C941CB">
        <w:rPr>
          <w:rFonts w:ascii="Times New Roman" w:hAnsi="Times New Roman" w:cs="Times New Roman"/>
          <w:sz w:val="24"/>
          <w:szCs w:val="24"/>
        </w:rPr>
        <w:t xml:space="preserve">. </w:t>
      </w:r>
    </w:p>
    <w:p w14:paraId="6DA6679C" w14:textId="63CD6B97" w:rsidR="000828B4" w:rsidRPr="000828B4" w:rsidRDefault="003B6598"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3B6598">
        <w:rPr>
          <w:rFonts w:ascii="Times New Roman" w:hAnsi="Times New Roman" w:cs="Times New Roman"/>
          <w:sz w:val="24"/>
          <w:szCs w:val="24"/>
        </w:rPr>
        <w:t>ВАЖНО:</w:t>
      </w:r>
      <w:r w:rsidR="000828B4" w:rsidRPr="000828B4">
        <w:rPr>
          <w:rFonts w:ascii="Times New Roman" w:hAnsi="Times New Roman" w:cs="Times New Roman"/>
          <w:sz w:val="24"/>
          <w:szCs w:val="24"/>
        </w:rPr>
        <w:t>При избора на изпълнител/и на дейностите по проекта, в случай че е приложимо, бенефициентите следва да предвидят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w:t>
      </w:r>
    </w:p>
    <w:p w14:paraId="08C10486" w14:textId="77777777" w:rsidR="00C941CB" w:rsidRDefault="00C941CB"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941CB">
        <w:rPr>
          <w:rFonts w:ascii="Times New Roman" w:hAnsi="Times New Roman" w:cs="Times New Roman"/>
          <w:sz w:val="24"/>
          <w:szCs w:val="24"/>
        </w:rPr>
        <w:t xml:space="preserve">В случаите, когато бенефициентът не е възложител по смисъла на ЗОП, при избор на изпълнител/и същият задължително прилага разпоредбите на Глава четвърта от ЗУСЕСИФ и ПМС № 160 от 1 юли 2016 г. за определяне правилата за разглеждане и оценяване на оферти и сключването на договорите в процедурата за избор с публична </w:t>
      </w:r>
      <w:r w:rsidRPr="00C941CB">
        <w:rPr>
          <w:rFonts w:ascii="Times New Roman" w:hAnsi="Times New Roman" w:cs="Times New Roman"/>
          <w:sz w:val="24"/>
          <w:szCs w:val="24"/>
        </w:rPr>
        <w:lastRenderedPageBreak/>
        <w:t>покана от бенефициенти на безвъзмездна финансова помощ от ЕСИФ, както и указанията, заложени в Ръководството за изпълнение на ДБФП по Оперативна програма "Иновации и конкурентоспособност" 2014-2020.</w:t>
      </w:r>
    </w:p>
    <w:p w14:paraId="0491CAF9" w14:textId="6FD734F6"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При подаване на междинен/финален отчет за изпълнението на проекта, Управляващият орган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 европейски и национални норми, както и правилата, утвърдени от Ръководителя на Управляващия орган.</w:t>
      </w:r>
    </w:p>
    <w:p w14:paraId="54DAD0DA"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В процеса на изпълнение на сключените договори за безвъзмездна финансова помощ,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 бенефициентът изрично е изявил желание за това.</w:t>
      </w:r>
    </w:p>
    <w:p w14:paraId="19D7D33E"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При подготовката на проектните предложения кандидатите следва да съобразят необходимостта от прилагане на процедури за избор на изпълнител и съответно да посочат това като част от предвидените за изпълнение дейности и да го отразят във времевия график за изпълнение на проекта във Формуляра за кандидатстване.</w:t>
      </w:r>
    </w:p>
    <w:p w14:paraId="46AE8381"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При провеждане на процедурата/ите за избора на изпълнител/и, бенефициентът следва да спазва принципа на свободна и лоялна конкуренция и да прилага подходящи мерки за избягване предотвратяването, ограничаването или нарушаването на конкуренцията.</w:t>
      </w:r>
    </w:p>
    <w:p w14:paraId="4FFAF577"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 xml:space="preserve">По настоящата процедура за безвъзмездна помощ </w:t>
      </w:r>
      <w:r w:rsidRPr="00A1351F">
        <w:rPr>
          <w:rFonts w:ascii="Times New Roman" w:hAnsi="Times New Roman" w:cs="Times New Roman"/>
          <w:b/>
          <w:sz w:val="24"/>
          <w:szCs w:val="24"/>
        </w:rPr>
        <w:t>няма</w:t>
      </w:r>
      <w:r w:rsidRPr="000828B4">
        <w:rPr>
          <w:rFonts w:ascii="Times New Roman" w:hAnsi="Times New Roman" w:cs="Times New Roman"/>
          <w:sz w:val="24"/>
          <w:szCs w:val="24"/>
        </w:rPr>
        <w:t xml:space="preserve"> ограничения относно произхода на придобиваните активи.</w:t>
      </w:r>
    </w:p>
    <w:p w14:paraId="6408B274"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Правата и задълженията, които възникват за бенефициента, са описани в образец на Административен договор за безвъзмездна финансова помощ по Оперативна програма „Иновации и конкурентоспособност” 2014-2020 и Общите условия към финансираните по Оперативна програма „Иновации и конкурентоспособност” 2014-2020 договори за безвъзмездна финансова помощ. В процеса на изпълнение на проектите, бенефициентите следва да се придържат към правилата и процедурите, описани в Ръководството за изпълнение на ДБФП по Оперативна програма "Иновации и конкурентоспособност" 2014-2020.</w:t>
      </w:r>
    </w:p>
    <w:p w14:paraId="3BA580E0"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Всеки кандидат може да подаде сигнал за нередност при условията и по реда на Наредбата за администриране на нередности по Европейските структурни и инвестиционни фондове (приета с ПМС № 173/13.07.2016 г., обн. ДВ, бр. 57 от 2016г.) и съобразно подписаната от него Декларация за нередности.</w:t>
      </w:r>
    </w:p>
    <w:p w14:paraId="6165643F"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 xml:space="preserve">Ако бенефициентът не може да изпълни изцяло или частично дейностите, заложени в административния договор, плащанията могат да не се извършат (цялостно или </w:t>
      </w:r>
      <w:r w:rsidRPr="000828B4">
        <w:rPr>
          <w:rFonts w:ascii="Times New Roman" w:hAnsi="Times New Roman" w:cs="Times New Roman"/>
          <w:sz w:val="24"/>
          <w:szCs w:val="24"/>
        </w:rPr>
        <w:lastRenderedPageBreak/>
        <w:t>частично) в зависимост от невъзможността за изпълнение на задълженията от страна на бенефициента.</w:t>
      </w:r>
    </w:p>
    <w:p w14:paraId="360279D0"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Изменение на административния договор за безвъзмездна финансова помощ се извършва чрез сключване на Анекс (допълнително споразумение) към административния договор съгласно чл. 39 от ЗУСЕСИФ. Анексът към административния договор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04E7758D"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Съгласно правилата на Регламент 1303/2013, Управляващият орган следва да извършва проверки за удостоверяване на административните, финансовите, техническите и физическите аспекти от изпълнението на проектите. Проверките могат да бъдат както административни – проверка на документи, предоставени във връзка с възстановяване на разходи, така и проверки на място за изпълнение на дейностите, заложени по проекта. Проверките от страна на Управляващия орган се извършват на всички проекти и/или на проекти, определени на база извадка.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0230A3C3"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Бенефициентът е задължен да докладва и отчита изпълнението на проекта в съответните отчетни форми и документи, приложени към Ръководството за изпълнение на ДБФП по Оперативна програма "Иновации и конкурентоспособност" 2014-2020.</w:t>
      </w:r>
    </w:p>
    <w:p w14:paraId="720D7323"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всяко искане за междинно плащане, в хода на изпълнение на договора, бенефициентът е задължен да изготви и представи на Управляващия орган междинен технически и финансов отчети, които да съдържат необходимите приложения с пълна информация за всички аспекти на изпълнението за отчетния период. След приключването на дейностите по договора за безвъзмездна финансова помощ, бенефициентът е длъжен да изготви и представи на Управляващия орган финален технически и финансов отчети, съдържащи информация относно цялостното изпълнение на дейностите и постигнатите резултати. Отчетите се изготвят съгласно образците, приложени към Ръководството за изпълнение на ДБФП по Оперативна програма "Иновации и конкурентоспособност" 2014-2020.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w:t>
      </w:r>
    </w:p>
    <w:p w14:paraId="6CA623B0" w14:textId="77777777" w:rsidR="000828B4" w:rsidRPr="000828B4" w:rsidRDefault="000828B4" w:rsidP="00A9133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lastRenderedPageBreak/>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647E9028" w14:textId="6746FAE3" w:rsidR="004B5999" w:rsidRPr="007C2600" w:rsidRDefault="000828B4"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За дата на предоставяне на помощта по смисъла на чл. 3, пар. 4 от Регламент 1407/2013 се счита датата на сключване на договора за безвъзмездна финансова помощ.</w:t>
      </w:r>
      <w:bookmarkStart w:id="2" w:name="_Toc491084037"/>
    </w:p>
    <w:p w14:paraId="2B0083DB" w14:textId="09EC3CBF" w:rsidR="000828B4" w:rsidRPr="00A9133E" w:rsidRDefault="000828B4" w:rsidP="00A9133E">
      <w:pPr>
        <w:pStyle w:val="1"/>
        <w:rPr>
          <w:rFonts w:ascii="Times New Roman" w:hAnsi="Times New Roman" w:cs="Times New Roman"/>
          <w:b/>
          <w:sz w:val="24"/>
          <w:szCs w:val="24"/>
        </w:rPr>
      </w:pPr>
      <w:r w:rsidRPr="00A9133E">
        <w:rPr>
          <w:rFonts w:ascii="Times New Roman" w:hAnsi="Times New Roman" w:cs="Times New Roman"/>
          <w:b/>
          <w:sz w:val="24"/>
          <w:szCs w:val="24"/>
        </w:rPr>
        <w:t>2. Финансово изпълнение на проектите и плащане</w:t>
      </w:r>
      <w:bookmarkEnd w:id="2"/>
    </w:p>
    <w:p w14:paraId="2363F288" w14:textId="77777777" w:rsidR="000828B4" w:rsidRPr="000828B4" w:rsidRDefault="000828B4" w:rsidP="00A135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w:t>
      </w:r>
    </w:p>
    <w:p w14:paraId="013C8B0B" w14:textId="77777777" w:rsidR="000828B4" w:rsidRPr="000828B4" w:rsidRDefault="000828B4" w:rsidP="00A135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Бенефициентът е задължен да поддържа отделни счетоводни аналитични сметки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т.5 от ЗУСЕСИФ.</w:t>
      </w:r>
    </w:p>
    <w:p w14:paraId="711DC6D8" w14:textId="77777777" w:rsidR="000828B4" w:rsidRPr="000828B4" w:rsidRDefault="000828B4" w:rsidP="00A135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При изпълнение на административните договори за безвъзмездна финансова помощ, бенефициентите са отговорни за администриране на процеса на 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приложимото национално законодателство. При оформяне на исканията за плащане, за документалната отчетност, както и за всички други свои задължения във връзка с получаване на средства по всяка процедура, Бенефициентите са длъжни да следват и действащите нормативни актове към момента на изпълнение на договорите за определянето на ДДС като „възстановим” и следователно недопустим разход или като „невъзстановим” и следователно допустим разход по ОПИК и съответната процедура.</w:t>
      </w:r>
    </w:p>
    <w:p w14:paraId="4016540A" w14:textId="6A91E5E5"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 Фиксираният в административния договор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w:t>
      </w:r>
      <w:r w:rsidR="008B4619">
        <w:rPr>
          <w:rFonts w:ascii="Times New Roman" w:hAnsi="Times New Roman" w:cs="Times New Roman"/>
          <w:sz w:val="24"/>
          <w:szCs w:val="24"/>
          <w:lang w:val="en-US"/>
        </w:rPr>
        <w:t xml:space="preserve"> </w:t>
      </w:r>
      <w:r w:rsidRPr="007C2600">
        <w:rPr>
          <w:rFonts w:ascii="Times New Roman" w:hAnsi="Times New Roman" w:cs="Times New Roman"/>
          <w:sz w:val="24"/>
          <w:szCs w:val="24"/>
        </w:rPr>
        <w:t>действително извършените разходи.</w:t>
      </w:r>
      <w:r w:rsidR="008B4619">
        <w:rPr>
          <w:rFonts w:ascii="Times New Roman" w:hAnsi="Times New Roman" w:cs="Times New Roman"/>
          <w:sz w:val="24"/>
          <w:szCs w:val="24"/>
          <w:lang w:val="en-US"/>
        </w:rPr>
        <w:t xml:space="preserve"> </w:t>
      </w:r>
      <w:r w:rsidRPr="007C2600">
        <w:rPr>
          <w:rFonts w:ascii="Times New Roman" w:hAnsi="Times New Roman" w:cs="Times New Roman"/>
          <w:sz w:val="24"/>
          <w:szCs w:val="24"/>
        </w:rPr>
        <w:t>Недопустими са промени в бюджета на административния договор, водещи до увеличаване на първоначално договорения процент и размер на безвъзмездната финансова помощ по административния договор и/или водещи до превишаване на средствата по бюджетни пера, за които има определен в Условията за кандидатстване максимален размер/процент.</w:t>
      </w:r>
      <w:r w:rsidR="008B4619">
        <w:rPr>
          <w:rFonts w:ascii="Times New Roman" w:hAnsi="Times New Roman" w:cs="Times New Roman"/>
          <w:sz w:val="24"/>
          <w:szCs w:val="24"/>
          <w:lang w:val="en-US"/>
        </w:rPr>
        <w:t xml:space="preserve"> </w:t>
      </w:r>
      <w:r w:rsidRPr="007C2600">
        <w:rPr>
          <w:rFonts w:ascii="Times New Roman" w:hAnsi="Times New Roman" w:cs="Times New Roman"/>
          <w:sz w:val="24"/>
          <w:szCs w:val="24"/>
        </w:rPr>
        <w:t xml:space="preserve">По всяка процедура за </w:t>
      </w:r>
      <w:r w:rsidRPr="007C2600">
        <w:rPr>
          <w:rFonts w:ascii="Times New Roman" w:hAnsi="Times New Roman" w:cs="Times New Roman"/>
          <w:sz w:val="24"/>
          <w:szCs w:val="24"/>
        </w:rPr>
        <w:lastRenderedPageBreak/>
        <w:t xml:space="preserve">предоставяне на безвъзмездна финансова помощ </w:t>
      </w:r>
      <w:r w:rsidRPr="008B4619">
        <w:rPr>
          <w:rFonts w:ascii="Times New Roman" w:hAnsi="Times New Roman" w:cs="Times New Roman"/>
          <w:sz w:val="24"/>
          <w:szCs w:val="24"/>
          <w:u w:val="single"/>
        </w:rPr>
        <w:t>се предвиждат 3 варианта на плащане</w:t>
      </w:r>
      <w:r w:rsidRPr="007C2600">
        <w:rPr>
          <w:rFonts w:ascii="Times New Roman" w:hAnsi="Times New Roman" w:cs="Times New Roman"/>
          <w:sz w:val="24"/>
          <w:szCs w:val="24"/>
        </w:rPr>
        <w:t>, както следва:</w:t>
      </w:r>
    </w:p>
    <w:p w14:paraId="07F23555" w14:textId="77777777" w:rsid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Вариант 1 (с авансово плащане, междинни и окончателно плащане):</w:t>
      </w:r>
    </w:p>
    <w:p w14:paraId="7C0D2321"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Бенефициентите имат право да получат авансово плащане като представят искане за плащане в ИСУН 2020 по административен договор за безвъзмездна финансова помощ. Авансовото плащане може да бъде в размер до 40% от общия размер на безвъзмездната финансова помощ. Условие за неговото извършване е предоставянето от страна на бенефициента на Банкова гаранция, покриваща пълния размер на исканата авансова сума, Финансова идентификационна форма (съгласно образеца, приложен към Ръководството за изпълнение на ДБФП по Оперативна програма "Иновации и конкурентоспособност" 2014-2020) 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w:t>
      </w:r>
    </w:p>
    <w:p w14:paraId="1F0996FC"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След представяне на посочените документи Управляващия орган превежда размера на авансовото плащане по банкова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й.</w:t>
      </w:r>
    </w:p>
    <w:p w14:paraId="4DF20DE6"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Авансовото плащане се извършва в срок от 20 /двадесет/ календарни дни от датата на постъпване на искането за плащане в Управляващия орган, при условията и реда на чл.61 от ЗУСЕСИФ.</w:t>
      </w:r>
    </w:p>
    <w:p w14:paraId="5A0C0DEA"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Бенефициентът има право на междинни плащания.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безвъзмездна финансова помощ, посочен в административния договор.</w:t>
      </w:r>
    </w:p>
    <w:p w14:paraId="14A63985" w14:textId="77777777" w:rsidR="00165E43" w:rsidRDefault="00165E43"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165E43">
        <w:rPr>
          <w:rFonts w:ascii="Times New Roman" w:hAnsi="Times New Roman" w:cs="Times New Roman"/>
          <w:sz w:val="24"/>
          <w:szCs w:val="24"/>
        </w:rPr>
        <w:t>При обезпечаване на авансовите плащания с гаранция издадена от банка, общият размер на авансовото и междинните плащания е до 95% от стойността на безвъзмездната финансова помощ. Този праг от 95% не се прилага, когато няма извършено авансово плащане или когато авансът е покрит изцяло с допустими разходи съгласно чл. 131, параграф 2 от Регламент (ЕС) № 1303/2013.</w:t>
      </w:r>
    </w:p>
    <w:p w14:paraId="663DB809" w14:textId="47F9712B"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68CA111A"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lastRenderedPageBreak/>
        <w:t>Заявяването на авансово плащане от страна на бенефициентите не е задължително.</w:t>
      </w:r>
    </w:p>
    <w:p w14:paraId="21061E15" w14:textId="2AFEF880" w:rsid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7C2600">
        <w:rPr>
          <w:rFonts w:ascii="Times New Roman" w:hAnsi="Times New Roman" w:cs="Times New Roman"/>
          <w:b/>
          <w:sz w:val="24"/>
          <w:szCs w:val="24"/>
        </w:rPr>
        <w:t>Вариант 2 (само междинни плащания и окончателно плащане):</w:t>
      </w:r>
    </w:p>
    <w:p w14:paraId="356CA3AB" w14:textId="33B95B79"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 xml:space="preserve">В този случай бенефициентът първоначално заплаща всички разходи по изпълнение на проекта за определен период. За да получи исканата сума за междинно плащане, бенефициентът трябва да представи за одобрение междинен технически и финансов отчет. Отчетът трябва да съдържа доказателствени документи, които удостоверяват изпълнението на отчитаните дейности/действия и изразходването на средствата (съгласно образците, приложени към Ръководството за изпълнение на ДБФП по Оперативна програма "Иновации и конкурентоспособност" 2014-2020). Документите се проверяват, разходите се верифицират и на Бенефициента се изплаща тази част от изразходваните средства, която отговаря на процента на безвъзмездна финансова помощ, посочена в административния договор. </w:t>
      </w:r>
    </w:p>
    <w:p w14:paraId="23CFAAE5"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7C2600">
        <w:rPr>
          <w:rFonts w:ascii="Times New Roman" w:hAnsi="Times New Roman" w:cs="Times New Roman"/>
          <w:b/>
          <w:sz w:val="24"/>
          <w:szCs w:val="24"/>
        </w:rPr>
        <w:t>Вариант 3 (само окончателно плащане):</w:t>
      </w:r>
    </w:p>
    <w:p w14:paraId="70DBC983" w14:textId="77777777"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Окончателното плащане в размер на общата стойност на безвъзмездната финансова помощ, изчислена като се приложи процента, посочен в чл. 4.2 от Административния договор за безвъзмездна финансова помощ към общите верифицирани разходи. То се извършва след одобрението на финалния отчет, придружен с искане за плащане в съответствие с чл. 2.6 и чл. 2.7 от Общите условия към финансираните по Оперативна програма „Иновации и конкурентоспособност“ административни договори за БФП.</w:t>
      </w:r>
    </w:p>
    <w:p w14:paraId="3ACE9AE1" w14:textId="47B58302" w:rsidR="007C2600" w:rsidRPr="008B4619"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7C2600">
        <w:rPr>
          <w:rFonts w:ascii="Times New Roman" w:hAnsi="Times New Roman" w:cs="Times New Roman"/>
          <w:sz w:val="24"/>
          <w:szCs w:val="24"/>
        </w:rPr>
        <w:t xml:space="preserve">В случай че бенефициентът избере Вариант 1 или Вариант 2, т.е. в случаите, когато плащането на безвъзмездната финансова помощ ще се извърши на няколко вноски (траншове), помощта и допустимите разходи следва да бъдат сконтирани до съответната стойност към момента на предоставянето на помощта при използване на референтния лихвен процент, използван за нуждите на държавните помощи, приложим към датата на предоставяне на помощта в съответствие чл. 3, пар. 6 от Регламент 1407/2013. Референтният лихвен процент се актуализира периодично от Европейската комисия. Референтният лихвен процент за Република България за съответния период се оповестява на следния интернет адрес: </w:t>
      </w:r>
      <w:hyperlink r:id="rId8" w:history="1">
        <w:r w:rsidR="008B4619" w:rsidRPr="007249DE">
          <w:rPr>
            <w:rStyle w:val="ae"/>
            <w:rFonts w:ascii="Times New Roman" w:hAnsi="Times New Roman" w:cs="Times New Roman"/>
            <w:sz w:val="24"/>
            <w:szCs w:val="24"/>
          </w:rPr>
          <w:t>http://stateaid.minfin.bg/bg/page/424</w:t>
        </w:r>
      </w:hyperlink>
      <w:r w:rsidR="008B4619">
        <w:rPr>
          <w:rFonts w:ascii="Times New Roman" w:hAnsi="Times New Roman" w:cs="Times New Roman"/>
          <w:sz w:val="24"/>
          <w:szCs w:val="24"/>
          <w:lang w:val="en-US"/>
        </w:rPr>
        <w:t xml:space="preserve"> </w:t>
      </w:r>
    </w:p>
    <w:p w14:paraId="23187FFC" w14:textId="3DA52D3C"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Сконтирането</w:t>
      </w:r>
      <w:r>
        <w:rPr>
          <w:rStyle w:val="af4"/>
          <w:rFonts w:ascii="Times New Roman" w:hAnsi="Times New Roman" w:cs="Times New Roman"/>
          <w:sz w:val="24"/>
          <w:szCs w:val="24"/>
        </w:rPr>
        <w:footnoteReference w:id="1"/>
      </w:r>
      <w:r w:rsidRPr="007C2600">
        <w:rPr>
          <w:rFonts w:ascii="Times New Roman" w:hAnsi="Times New Roman" w:cs="Times New Roman"/>
          <w:sz w:val="24"/>
          <w:szCs w:val="24"/>
        </w:rPr>
        <w:t xml:space="preserve"> ще се извършва от Управляващия орган с цел гарантиране, че предоставената безвъзмездна финансова помощ ще бъде съобразена с праговете и интензитетите за минимална помощ, посочени в т. 9-10 от Условията за кандидатстване.</w:t>
      </w:r>
    </w:p>
    <w:p w14:paraId="098DB672" w14:textId="5869E96B" w:rsidR="007C2600" w:rsidRP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7C2600">
        <w:rPr>
          <w:rFonts w:ascii="Times New Roman" w:hAnsi="Times New Roman" w:cs="Times New Roman"/>
          <w:sz w:val="24"/>
          <w:szCs w:val="24"/>
        </w:rPr>
        <w:t xml:space="preserve">Допустимо е придобиването на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 късно от крайния срок на изпълнение на проекта. </w:t>
      </w:r>
      <w:r w:rsidRPr="007C2600">
        <w:rPr>
          <w:rFonts w:ascii="Times New Roman" w:hAnsi="Times New Roman" w:cs="Times New Roman"/>
          <w:sz w:val="24"/>
          <w:szCs w:val="24"/>
        </w:rPr>
        <w:lastRenderedPageBreak/>
        <w:t>Придобиването чрез финансов лизинг е допустимо при спазване на условията на чл. 18, ал. 1 и ал. 3 на ПМС № 189/2016 г. Бенефициентът може да придобие собствеността върху даден актив или чрез договор за финансов лизинг или чрез договор за покупка, при спазване и на правилата посочени в Ръководството за изпълнение на ДБФП по</w:t>
      </w:r>
      <w:r w:rsidRPr="007C2600">
        <w:t xml:space="preserve"> </w:t>
      </w:r>
      <w:r w:rsidRPr="007C2600">
        <w:rPr>
          <w:rFonts w:ascii="Times New Roman" w:hAnsi="Times New Roman" w:cs="Times New Roman"/>
          <w:sz w:val="24"/>
          <w:szCs w:val="24"/>
        </w:rPr>
        <w:t>Оперативна програма "Иновации и конкурентоспособност" 2014-2020. Окончателно плащане по договори за краткосрочен финансов лизинг се извършва след изплащане на цялата стойност към лизингодателя и прехвърляне собствеността на дадения актив.</w:t>
      </w:r>
    </w:p>
    <w:p w14:paraId="02BCCEC5" w14:textId="77777777" w:rsidR="007C2600" w:rsidRDefault="007C2600" w:rsidP="007C260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77449E06" w14:textId="77777777" w:rsidR="000828B4" w:rsidRPr="00A9133E" w:rsidRDefault="000828B4" w:rsidP="00A9133E">
      <w:pPr>
        <w:pStyle w:val="1"/>
        <w:rPr>
          <w:rFonts w:ascii="Times New Roman" w:hAnsi="Times New Roman" w:cs="Times New Roman"/>
          <w:b/>
          <w:sz w:val="24"/>
          <w:szCs w:val="24"/>
        </w:rPr>
      </w:pPr>
      <w:bookmarkStart w:id="3" w:name="_Toc491084038"/>
      <w:r w:rsidRPr="00A9133E">
        <w:rPr>
          <w:rFonts w:ascii="Times New Roman" w:hAnsi="Times New Roman" w:cs="Times New Roman"/>
          <w:b/>
          <w:sz w:val="24"/>
          <w:szCs w:val="24"/>
        </w:rPr>
        <w:t>3. Мерки за информиране и публичност</w:t>
      </w:r>
      <w:bookmarkEnd w:id="3"/>
    </w:p>
    <w:p w14:paraId="2DCC890B"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Всички бенефициенти трябва да прилагат подходящи мерки за публичност и информираност съгласно правилата на Приложение XII на Регламент (ЕС) № 1303/2013.</w:t>
      </w:r>
    </w:p>
    <w:p w14:paraId="42ABC710"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Бенефициентите са длъжни да упоменат финансовия принос на Европейския фонд за регионално развитие чрез Оперативна програма „Иновации и конкурентоспособност”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свързани с изпълнението на проекта, бенефициентът е длъжен да оповести, че проектът е получил финансиране от ЕФРР чрез ОПИК.</w:t>
      </w:r>
    </w:p>
    <w:p w14:paraId="56BFDB3E"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По време на изпълнението на даден проект бенефициентът информира обществеността за получената от ЕФРР подкрепа като:</w:t>
      </w:r>
    </w:p>
    <w:p w14:paraId="66113771"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44652144"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58E396F1" w14:textId="2DA9AA71" w:rsidR="000828B4" w:rsidRPr="000828B4" w:rsidRDefault="000828B4" w:rsidP="00FE10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0828B4">
        <w:rPr>
          <w:rFonts w:ascii="Times New Roman" w:hAnsi="Times New Roman" w:cs="Times New Roman"/>
          <w:sz w:val="24"/>
          <w:szCs w:val="24"/>
        </w:rPr>
        <w:t>Плакатът следва да съдържа следната текстова и визуална информация:</w:t>
      </w:r>
    </w:p>
    <w:p w14:paraId="2E2278C3" w14:textId="77777777" w:rsidR="000828B4" w:rsidRPr="000828B4" w:rsidRDefault="000828B4" w:rsidP="00FE10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емблемата на ЕС и упоменаването „Европейски съюз“; </w:t>
      </w:r>
    </w:p>
    <w:p w14:paraId="6B8A2978" w14:textId="77777777" w:rsidR="000828B4" w:rsidRPr="000828B4" w:rsidRDefault="000828B4" w:rsidP="008B4619">
      <w:pPr>
        <w:pBdr>
          <w:top w:val="single" w:sz="4" w:space="1" w:color="auto"/>
          <w:left w:val="single" w:sz="4" w:space="4" w:color="auto"/>
          <w:bottom w:val="single" w:sz="4" w:space="1" w:color="auto"/>
          <w:right w:val="single" w:sz="4" w:space="4" w:color="auto"/>
        </w:pBdr>
        <w:spacing w:after="0"/>
        <w:ind w:left="705" w:hanging="705"/>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наименованието на съфинансиращия фонд - Европейски фонд за регионално развитие; </w:t>
      </w:r>
    </w:p>
    <w:p w14:paraId="107CFCC3" w14:textId="77777777" w:rsidR="000828B4" w:rsidRPr="000828B4" w:rsidRDefault="000828B4" w:rsidP="00FE10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общото лого за програмен период 2014-2020 г.; </w:t>
      </w:r>
    </w:p>
    <w:p w14:paraId="710A9041" w14:textId="77777777" w:rsidR="000828B4" w:rsidRPr="000828B4" w:rsidRDefault="000828B4" w:rsidP="008B4619">
      <w:pPr>
        <w:pBdr>
          <w:top w:val="single" w:sz="4" w:space="1" w:color="auto"/>
          <w:left w:val="single" w:sz="4" w:space="4" w:color="auto"/>
          <w:bottom w:val="single" w:sz="4" w:space="1" w:color="auto"/>
          <w:right w:val="single" w:sz="4" w:space="4" w:color="auto"/>
        </w:pBdr>
        <w:spacing w:after="0"/>
        <w:ind w:left="705" w:hanging="705"/>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наименованието на Оперативна програма „Иновации и конкурентоспособност” 2014-2020; </w:t>
      </w:r>
    </w:p>
    <w:p w14:paraId="5048BA66" w14:textId="77777777" w:rsidR="000828B4" w:rsidRPr="000828B4" w:rsidRDefault="000828B4" w:rsidP="00FE10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наименованието на проекта; </w:t>
      </w:r>
    </w:p>
    <w:p w14:paraId="22CE1C22" w14:textId="77777777" w:rsidR="000828B4" w:rsidRPr="000828B4" w:rsidRDefault="000828B4" w:rsidP="008B4619">
      <w:pPr>
        <w:pBdr>
          <w:top w:val="single" w:sz="4" w:space="1" w:color="auto"/>
          <w:left w:val="single" w:sz="4" w:space="4" w:color="auto"/>
          <w:bottom w:val="single" w:sz="4" w:space="1" w:color="auto"/>
          <w:right w:val="single" w:sz="4" w:space="4" w:color="auto"/>
        </w:pBdr>
        <w:spacing w:after="0"/>
        <w:ind w:left="705" w:hanging="705"/>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общата стойност на проекта, както и размера на европейското и националното съфинансиране, представени в български лева; </w:t>
      </w:r>
    </w:p>
    <w:p w14:paraId="77AFACE6"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w:t>
      </w:r>
      <w:r w:rsidRPr="000828B4">
        <w:rPr>
          <w:rFonts w:ascii="Times New Roman" w:hAnsi="Times New Roman" w:cs="Times New Roman"/>
          <w:sz w:val="24"/>
          <w:szCs w:val="24"/>
        </w:rPr>
        <w:tab/>
        <w:t xml:space="preserve">начална и крайна дата на изпълнение на проекта. </w:t>
      </w:r>
    </w:p>
    <w:p w14:paraId="06104A66" w14:textId="77777777" w:rsidR="000828B4" w:rsidRPr="000828B4" w:rsidRDefault="000828B4" w:rsidP="00FE10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0828B4">
        <w:rPr>
          <w:rFonts w:ascii="Times New Roman" w:hAnsi="Times New Roman" w:cs="Times New Roman"/>
          <w:sz w:val="24"/>
          <w:szCs w:val="24"/>
        </w:rPr>
        <w:lastRenderedPageBreak/>
        <w:t>Не по-късно от три месеца след приключването на даден проект бенефициентът поставя постоянна табела или билборд (които заместват плаката) с големи размери на видимо за обществеността място за всеки проект, който изпълнява следните критерии:</w:t>
      </w:r>
    </w:p>
    <w:p w14:paraId="18D29398" w14:textId="77777777" w:rsidR="000828B4" w:rsidRPr="000828B4" w:rsidRDefault="000828B4" w:rsidP="00FE108A">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0828B4">
        <w:rPr>
          <w:rFonts w:ascii="Times New Roman" w:hAnsi="Times New Roman" w:cs="Times New Roman"/>
          <w:sz w:val="24"/>
          <w:szCs w:val="24"/>
        </w:rPr>
        <w:t>а) общата публична подкрепа за проекта надхвърля 500 000 евро; както и</w:t>
      </w:r>
    </w:p>
    <w:p w14:paraId="5C119AB0"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б) проектът се състои в закупуване на физически предмет (материален актив) или във финансиране на инфраструктура или на строителни работи.</w:t>
      </w:r>
    </w:p>
    <w:p w14:paraId="7BFC4516"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Постоянната табела или билбордът следва да съдържат същите задължителни елементи като плаката (описани по-горе) като емблемата на ЕС, упоменаването „Европейски съюз“ и наименованието на финансиращия фонд трябва да заемат минимум 25% от площта им. Те се изготвят в съответствие с техническите характеристики, приети от Европейската комисия.</w:t>
      </w:r>
    </w:p>
    <w:p w14:paraId="6F4AED53"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Емблемата на ЕС следва да е в съответствие с графичните стандарти, определени в приложение II от Регламент за изпълнение (ЕС) № 821/2014 на Комисията.</w:t>
      </w:r>
    </w:p>
    <w:p w14:paraId="3C7AFFC6"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ОПИК.</w:t>
      </w:r>
    </w:p>
    <w:p w14:paraId="196FBC25" w14:textId="77777777" w:rsidR="008B4619"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интернет страницата на Управляващия орган - </w:t>
      </w:r>
      <w:hyperlink r:id="rId9" w:history="1">
        <w:r w:rsidRPr="00FE108A">
          <w:rPr>
            <w:rStyle w:val="ae"/>
            <w:rFonts w:ascii="Times New Roman" w:hAnsi="Times New Roman" w:cs="Times New Roman"/>
            <w:sz w:val="24"/>
            <w:szCs w:val="24"/>
          </w:rPr>
          <w:t>http://opic.bg/informatsiya-i-publichnost/grafichni-iziskvaniya</w:t>
        </w:r>
      </w:hyperlink>
      <w:r w:rsidRPr="000828B4">
        <w:rPr>
          <w:rFonts w:ascii="Times New Roman" w:hAnsi="Times New Roman" w:cs="Times New Roman"/>
          <w:sz w:val="24"/>
          <w:szCs w:val="24"/>
        </w:rPr>
        <w:t xml:space="preserve">. </w:t>
      </w:r>
    </w:p>
    <w:p w14:paraId="54300ABF" w14:textId="6E9197CD"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На същата страница могат да бъдат намерени и векторните варианти на логото на ОПИК.</w:t>
      </w:r>
    </w:p>
    <w:p w14:paraId="2B5E0D67" w14:textId="77777777" w:rsidR="000828B4" w:rsidRPr="000828B4" w:rsidRDefault="000828B4" w:rsidP="00FE108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97992">
        <w:rPr>
          <w:rFonts w:ascii="Times New Roman" w:hAnsi="Times New Roman" w:cs="Times New Roman"/>
          <w:b/>
          <w:sz w:val="24"/>
          <w:szCs w:val="24"/>
        </w:rPr>
        <w:t>ВАЖНО:</w:t>
      </w:r>
      <w:r w:rsidRPr="000828B4">
        <w:rPr>
          <w:rFonts w:ascii="Times New Roman" w:hAnsi="Times New Roman" w:cs="Times New Roman"/>
          <w:sz w:val="24"/>
          <w:szCs w:val="24"/>
        </w:rPr>
        <w:t xml:space="preserve"> 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p>
    <w:p w14:paraId="55821CB6" w14:textId="627994CC" w:rsidR="000828B4" w:rsidRPr="00A9133E" w:rsidRDefault="000828B4" w:rsidP="00A9133E">
      <w:pPr>
        <w:pStyle w:val="1"/>
        <w:rPr>
          <w:rFonts w:ascii="Times New Roman" w:hAnsi="Times New Roman" w:cs="Times New Roman"/>
          <w:b/>
          <w:sz w:val="24"/>
          <w:szCs w:val="24"/>
        </w:rPr>
      </w:pPr>
      <w:bookmarkStart w:id="4" w:name="_Toc491084039"/>
      <w:r w:rsidRPr="00A9133E">
        <w:rPr>
          <w:rFonts w:ascii="Times New Roman" w:hAnsi="Times New Roman" w:cs="Times New Roman"/>
          <w:b/>
          <w:sz w:val="24"/>
          <w:szCs w:val="24"/>
        </w:rPr>
        <w:t xml:space="preserve">4. Приложения към Условията за изпълнение </w:t>
      </w:r>
      <w:bookmarkEnd w:id="4"/>
    </w:p>
    <w:p w14:paraId="0244326A" w14:textId="075FF721" w:rsidR="000828B4" w:rsidRPr="000828B4"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1. Декларация за съгласие данните на кандидата да бъдат предоставени от НСИ на УО на ОПИК по служебен път</w:t>
      </w:r>
      <w:r w:rsidR="005D2C0B">
        <w:rPr>
          <w:rFonts w:ascii="Times New Roman" w:hAnsi="Times New Roman" w:cs="Times New Roman"/>
          <w:sz w:val="24"/>
          <w:szCs w:val="24"/>
        </w:rPr>
        <w:t xml:space="preserve"> (Приложение №1)</w:t>
      </w:r>
      <w:r w:rsidR="00B3128C">
        <w:rPr>
          <w:rFonts w:ascii="Times New Roman" w:hAnsi="Times New Roman" w:cs="Times New Roman"/>
          <w:sz w:val="24"/>
          <w:szCs w:val="24"/>
        </w:rPr>
        <w:t>;</w:t>
      </w:r>
    </w:p>
    <w:p w14:paraId="209DFE6E" w14:textId="7CDBD9D6" w:rsidR="000828B4" w:rsidRPr="000828B4"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2. Административен договор за предоставяне на безвъзмездна финансова помощ по ОПИК</w:t>
      </w:r>
      <w:r w:rsidR="005D2C0B">
        <w:rPr>
          <w:rFonts w:ascii="Times New Roman" w:hAnsi="Times New Roman" w:cs="Times New Roman"/>
          <w:sz w:val="24"/>
          <w:szCs w:val="24"/>
        </w:rPr>
        <w:t xml:space="preserve"> (Приложение №2)</w:t>
      </w:r>
      <w:r w:rsidR="00B3128C">
        <w:rPr>
          <w:rFonts w:ascii="Times New Roman" w:hAnsi="Times New Roman" w:cs="Times New Roman"/>
          <w:sz w:val="24"/>
          <w:szCs w:val="24"/>
        </w:rPr>
        <w:t>;</w:t>
      </w:r>
    </w:p>
    <w:p w14:paraId="108AEE1D" w14:textId="03CFF6B2" w:rsidR="000828B4" w:rsidRPr="000828B4"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 xml:space="preserve">3. Общи условия към </w:t>
      </w:r>
      <w:r w:rsidR="005D2C0B" w:rsidRPr="005E5BEB">
        <w:rPr>
          <w:rFonts w:ascii="Times New Roman" w:hAnsi="Times New Roman" w:cs="Times New Roman"/>
          <w:sz w:val="24"/>
          <w:szCs w:val="24"/>
        </w:rPr>
        <w:t>финансираните по Оперативна програма “Иновации и конкурентоспособност” 2014-2020 административни договори за предоставяне на безвъзмездна финансова помощ</w:t>
      </w:r>
      <w:r w:rsidR="005D2C0B">
        <w:rPr>
          <w:rFonts w:ascii="Times New Roman" w:hAnsi="Times New Roman" w:cs="Times New Roman"/>
          <w:sz w:val="24"/>
          <w:szCs w:val="24"/>
        </w:rPr>
        <w:t xml:space="preserve"> (Приложение №</w:t>
      </w:r>
      <w:r w:rsidR="005D2C0B">
        <w:rPr>
          <w:rFonts w:ascii="Times New Roman" w:hAnsi="Times New Roman" w:cs="Times New Roman"/>
          <w:sz w:val="24"/>
          <w:szCs w:val="24"/>
          <w:lang w:val="en-US"/>
        </w:rPr>
        <w:t>3</w:t>
      </w:r>
      <w:r w:rsidR="005D2C0B">
        <w:rPr>
          <w:rFonts w:ascii="Times New Roman" w:hAnsi="Times New Roman" w:cs="Times New Roman"/>
          <w:sz w:val="24"/>
          <w:szCs w:val="24"/>
        </w:rPr>
        <w:t>)</w:t>
      </w:r>
      <w:r w:rsidR="00B3128C">
        <w:rPr>
          <w:rFonts w:ascii="Times New Roman" w:hAnsi="Times New Roman" w:cs="Times New Roman"/>
          <w:sz w:val="24"/>
          <w:szCs w:val="24"/>
        </w:rPr>
        <w:t>;</w:t>
      </w:r>
    </w:p>
    <w:p w14:paraId="1C3E3752" w14:textId="7425B823" w:rsidR="000828B4" w:rsidRPr="000828B4"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4. Декларация за нередности</w:t>
      </w:r>
      <w:r w:rsidR="005D2C0B">
        <w:rPr>
          <w:rFonts w:ascii="Times New Roman" w:hAnsi="Times New Roman" w:cs="Times New Roman"/>
          <w:sz w:val="24"/>
          <w:szCs w:val="24"/>
        </w:rPr>
        <w:t xml:space="preserve"> (Приложение №4)</w:t>
      </w:r>
      <w:r w:rsidR="00B3128C">
        <w:rPr>
          <w:rFonts w:ascii="Times New Roman" w:hAnsi="Times New Roman" w:cs="Times New Roman"/>
          <w:sz w:val="24"/>
          <w:szCs w:val="24"/>
        </w:rPr>
        <w:t>;</w:t>
      </w:r>
    </w:p>
    <w:p w14:paraId="4E77AB80" w14:textId="77C20F64" w:rsidR="000828B4" w:rsidRPr="000828B4"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5. Банкова гаранция</w:t>
      </w:r>
      <w:r w:rsidR="005D2C0B">
        <w:rPr>
          <w:rFonts w:ascii="Times New Roman" w:hAnsi="Times New Roman" w:cs="Times New Roman"/>
          <w:sz w:val="24"/>
          <w:szCs w:val="24"/>
        </w:rPr>
        <w:t xml:space="preserve"> (Приложение №5)</w:t>
      </w:r>
      <w:r w:rsidR="00B3128C">
        <w:rPr>
          <w:rFonts w:ascii="Times New Roman" w:hAnsi="Times New Roman" w:cs="Times New Roman"/>
          <w:sz w:val="24"/>
          <w:szCs w:val="24"/>
        </w:rPr>
        <w:t>;</w:t>
      </w:r>
    </w:p>
    <w:p w14:paraId="44C73C3F" w14:textId="0F75A0FD" w:rsidR="000828B4" w:rsidRPr="000828B4"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lastRenderedPageBreak/>
        <w:t>6. Заявление за профил за достъп на ръководител на бенефициента до ИСУН 2020</w:t>
      </w:r>
      <w:r w:rsidR="002E25BB">
        <w:rPr>
          <w:rFonts w:ascii="Times New Roman" w:hAnsi="Times New Roman" w:cs="Times New Roman"/>
          <w:sz w:val="24"/>
          <w:szCs w:val="24"/>
        </w:rPr>
        <w:t xml:space="preserve"> (Приложение №6)</w:t>
      </w:r>
      <w:r w:rsidR="00B3128C">
        <w:rPr>
          <w:rFonts w:ascii="Times New Roman" w:hAnsi="Times New Roman" w:cs="Times New Roman"/>
          <w:sz w:val="24"/>
          <w:szCs w:val="24"/>
        </w:rPr>
        <w:t>;</w:t>
      </w:r>
    </w:p>
    <w:p w14:paraId="70ACEB88" w14:textId="77777777" w:rsidR="002E25BB" w:rsidRDefault="000828B4" w:rsidP="00B3128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828B4">
        <w:rPr>
          <w:rFonts w:ascii="Times New Roman" w:hAnsi="Times New Roman" w:cs="Times New Roman"/>
          <w:sz w:val="24"/>
          <w:szCs w:val="24"/>
        </w:rPr>
        <w:t>7. Заявление за профил за достъп на упълномощени от бенефициента лица до ИСУН 2020</w:t>
      </w:r>
      <w:r w:rsidR="002E25BB">
        <w:rPr>
          <w:rFonts w:ascii="Times New Roman" w:hAnsi="Times New Roman" w:cs="Times New Roman"/>
          <w:sz w:val="24"/>
          <w:szCs w:val="24"/>
        </w:rPr>
        <w:t xml:space="preserve"> (Приложение №7);</w:t>
      </w:r>
    </w:p>
    <w:p w14:paraId="2A011B3B" w14:textId="06E05E04" w:rsidR="00B3128C" w:rsidRPr="008C7D20" w:rsidRDefault="009871AB" w:rsidP="008C7D2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8. </w:t>
      </w:r>
      <w:r w:rsidRPr="009871AB">
        <w:rPr>
          <w:rFonts w:ascii="Times New Roman" w:hAnsi="Times New Roman" w:cs="Times New Roman"/>
          <w:sz w:val="24"/>
          <w:szCs w:val="24"/>
        </w:rPr>
        <w:t>ДНФ № 3/23.12.2016 на Министерство на финансите относно третиране на ДДС</w:t>
      </w:r>
      <w:r w:rsidR="008C7D20">
        <w:rPr>
          <w:rFonts w:ascii="Times New Roman" w:hAnsi="Times New Roman" w:cs="Times New Roman"/>
          <w:sz w:val="24"/>
          <w:szCs w:val="24"/>
          <w:lang w:val="en-US"/>
        </w:rPr>
        <w:t>.</w:t>
      </w:r>
    </w:p>
    <w:p w14:paraId="20DB81F1" w14:textId="77777777" w:rsidR="000828B4" w:rsidRPr="000828B4" w:rsidRDefault="000828B4" w:rsidP="00B3128C">
      <w:pPr>
        <w:jc w:val="both"/>
        <w:rPr>
          <w:rFonts w:ascii="Times New Roman" w:hAnsi="Times New Roman" w:cs="Times New Roman"/>
          <w:sz w:val="24"/>
          <w:szCs w:val="24"/>
        </w:rPr>
      </w:pPr>
      <w:r w:rsidRPr="002C5D48">
        <w:rPr>
          <w:rFonts w:ascii="Times New Roman" w:hAnsi="Times New Roman" w:cs="Times New Roman"/>
          <w:i/>
          <w:sz w:val="24"/>
          <w:szCs w:val="24"/>
        </w:rPr>
        <w:t>Забележка:</w:t>
      </w:r>
      <w:r w:rsidRPr="000828B4">
        <w:rPr>
          <w:rFonts w:ascii="Times New Roman" w:hAnsi="Times New Roman" w:cs="Times New Roman"/>
          <w:sz w:val="24"/>
          <w:szCs w:val="24"/>
        </w:rPr>
        <w:t xml:space="preserve"> Указанията могат да се допълват при промяна на приложимото законодателство и по решение на УО на ОПИК.</w:t>
      </w:r>
    </w:p>
    <w:p w14:paraId="49C5848F" w14:textId="77777777" w:rsidR="000828B4" w:rsidRPr="00105398" w:rsidRDefault="000828B4" w:rsidP="00B3128C">
      <w:pPr>
        <w:jc w:val="both"/>
        <w:rPr>
          <w:rFonts w:ascii="Times New Roman" w:hAnsi="Times New Roman" w:cs="Times New Roman"/>
          <w:sz w:val="24"/>
          <w:szCs w:val="24"/>
        </w:rPr>
      </w:pPr>
    </w:p>
    <w:sectPr w:rsidR="000828B4" w:rsidRPr="00105398" w:rsidSect="00DB3D04">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E560B" w14:textId="77777777" w:rsidR="003010C6" w:rsidRDefault="003010C6">
      <w:pPr>
        <w:spacing w:after="0" w:line="240" w:lineRule="auto"/>
      </w:pPr>
      <w:r>
        <w:separator/>
      </w:r>
    </w:p>
  </w:endnote>
  <w:endnote w:type="continuationSeparator" w:id="0">
    <w:p w14:paraId="30C96A0C" w14:textId="77777777" w:rsidR="003010C6" w:rsidRDefault="00301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4987792"/>
      <w:docPartObj>
        <w:docPartGallery w:val="Page Numbers (Bottom of Page)"/>
        <w:docPartUnique/>
      </w:docPartObj>
    </w:sdtPr>
    <w:sdtEndPr/>
    <w:sdtContent>
      <w:p w14:paraId="5A2206B0" w14:textId="7C003C44" w:rsidR="00EC4EF5" w:rsidRPr="00EC4EF5" w:rsidRDefault="00043C61" w:rsidP="00EC4EF5">
        <w:pPr>
          <w:pStyle w:val="ac"/>
          <w:pBdr>
            <w:top w:val="single" w:sz="4" w:space="1" w:color="auto"/>
          </w:pBdr>
          <w:spacing w:before="240"/>
          <w:jc w:val="center"/>
          <w:rPr>
            <w:rFonts w:ascii="Times New Roman" w:hAnsi="Times New Roman" w:cs="Times New Roman"/>
            <w:iCs/>
            <w:sz w:val="21"/>
            <w:szCs w:val="21"/>
          </w:rPr>
        </w:pPr>
        <w:r w:rsidRPr="006E111E">
          <w:rPr>
            <w:rFonts w:ascii="Times New Roman" w:hAnsi="Times New Roman" w:cs="Times New Roman"/>
            <w:iCs/>
            <w:sz w:val="21"/>
            <w:szCs w:val="21"/>
          </w:rPr>
          <w:t xml:space="preserve">Условия за </w:t>
        </w:r>
        <w:r w:rsidR="00064448">
          <w:rPr>
            <w:rFonts w:ascii="Times New Roman" w:hAnsi="Times New Roman" w:cs="Times New Roman"/>
            <w:iCs/>
            <w:sz w:val="21"/>
            <w:szCs w:val="21"/>
          </w:rPr>
          <w:t>изпълнение на прое</w:t>
        </w:r>
        <w:r w:rsidR="00064448" w:rsidRPr="000128DA">
          <w:rPr>
            <w:rFonts w:ascii="Times New Roman" w:hAnsi="Times New Roman" w:cs="Times New Roman"/>
            <w:iCs/>
            <w:sz w:val="21"/>
            <w:szCs w:val="21"/>
          </w:rPr>
          <w:t>ктите</w:t>
        </w:r>
        <w:r w:rsidR="00EC4EF5" w:rsidRPr="000128DA">
          <w:rPr>
            <w:rFonts w:ascii="Times New Roman" w:hAnsi="Times New Roman" w:cs="Times New Roman"/>
            <w:iCs/>
            <w:sz w:val="21"/>
            <w:szCs w:val="21"/>
            <w:lang w:val="en-US"/>
          </w:rPr>
          <w:t xml:space="preserve"> </w:t>
        </w:r>
        <w:r w:rsidR="000128DA" w:rsidRPr="000128DA">
          <w:rPr>
            <w:rFonts w:ascii="Times New Roman" w:hAnsi="Times New Roman" w:cs="Times New Roman"/>
            <w:iCs/>
            <w:sz w:val="21"/>
            <w:szCs w:val="21"/>
            <w:lang w:val="en-US"/>
          </w:rPr>
          <w:t>BG16RFOP002-1.028</w:t>
        </w:r>
      </w:p>
      <w:p w14:paraId="126B7A44" w14:textId="0C3E281C" w:rsidR="00043C61" w:rsidRDefault="00EC4EF5" w:rsidP="00EC4EF5">
        <w:pPr>
          <w:pStyle w:val="ac"/>
          <w:pBdr>
            <w:top w:val="single" w:sz="4" w:space="1" w:color="auto"/>
          </w:pBdr>
          <w:jc w:val="center"/>
        </w:pPr>
        <w:r>
          <w:rPr>
            <w:rFonts w:ascii="Times New Roman" w:hAnsi="Times New Roman" w:cs="Times New Roman"/>
            <w:iCs/>
            <w:sz w:val="21"/>
            <w:szCs w:val="21"/>
            <w:lang w:val="en-US"/>
          </w:rPr>
          <w:t xml:space="preserve">                                   </w:t>
        </w:r>
        <w:r w:rsidRPr="00EC4EF5">
          <w:rPr>
            <w:rFonts w:ascii="Times New Roman" w:hAnsi="Times New Roman" w:cs="Times New Roman"/>
            <w:iCs/>
            <w:sz w:val="21"/>
            <w:szCs w:val="21"/>
            <w:lang w:val="en-US"/>
          </w:rPr>
          <w:t>МИГ-Поморие Мярка 11:„Технологично р</w:t>
        </w:r>
        <w:r>
          <w:rPr>
            <w:rFonts w:ascii="Times New Roman" w:hAnsi="Times New Roman" w:cs="Times New Roman"/>
            <w:iCs/>
            <w:sz w:val="21"/>
            <w:szCs w:val="21"/>
            <w:lang w:val="en-US"/>
          </w:rPr>
          <w:t xml:space="preserve">азвитие и иновации“            </w:t>
        </w:r>
        <w:r w:rsidR="00043C61">
          <w:rPr>
            <w:iCs/>
            <w:sz w:val="21"/>
            <w:szCs w:val="21"/>
          </w:rPr>
          <w:t xml:space="preserve">             </w:t>
        </w:r>
        <w:r w:rsidR="00043C61">
          <w:fldChar w:fldCharType="begin"/>
        </w:r>
        <w:r w:rsidR="00043C61">
          <w:instrText>PAGE   \* MERGEFORMAT</w:instrText>
        </w:r>
        <w:r w:rsidR="00043C61">
          <w:fldChar w:fldCharType="separate"/>
        </w:r>
        <w:r w:rsidR="0080272C">
          <w:rPr>
            <w:noProof/>
          </w:rPr>
          <w:t>11</w:t>
        </w:r>
        <w:r w:rsidR="00043C61">
          <w:fldChar w:fldCharType="end"/>
        </w:r>
      </w:p>
    </w:sdtContent>
  </w:sdt>
  <w:p w14:paraId="403E4CCF" w14:textId="77777777" w:rsidR="00043C61" w:rsidRPr="00486229" w:rsidRDefault="00043C61" w:rsidP="006E111E">
    <w:pPr>
      <w:pStyle w:val="ac"/>
      <w:jc w:val="center"/>
      <w:rPr>
        <w:rFonts w:ascii="Times New Roman" w:hAnsi="Times New Roman" w:cs="Times New Roman"/>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4541DF" w14:textId="77777777" w:rsidR="003010C6" w:rsidRDefault="003010C6">
      <w:pPr>
        <w:spacing w:after="0" w:line="240" w:lineRule="auto"/>
      </w:pPr>
      <w:r>
        <w:separator/>
      </w:r>
    </w:p>
  </w:footnote>
  <w:footnote w:type="continuationSeparator" w:id="0">
    <w:p w14:paraId="12BC4D87" w14:textId="77777777" w:rsidR="003010C6" w:rsidRDefault="003010C6">
      <w:pPr>
        <w:spacing w:after="0" w:line="240" w:lineRule="auto"/>
      </w:pPr>
      <w:r>
        <w:continuationSeparator/>
      </w:r>
    </w:p>
  </w:footnote>
  <w:footnote w:id="1">
    <w:p w14:paraId="04C52EC4" w14:textId="348BE342" w:rsidR="007C2600" w:rsidRPr="007C2600" w:rsidRDefault="007C2600" w:rsidP="007C2600">
      <w:pPr>
        <w:pStyle w:val="af2"/>
        <w:jc w:val="both"/>
        <w:rPr>
          <w:rFonts w:ascii="Times New Roman" w:hAnsi="Times New Roman" w:cs="Times New Roman"/>
        </w:rPr>
      </w:pPr>
      <w:r w:rsidRPr="007C2600">
        <w:rPr>
          <w:rStyle w:val="af4"/>
          <w:rFonts w:ascii="Times New Roman" w:hAnsi="Times New Roman" w:cs="Times New Roman"/>
        </w:rPr>
        <w:footnoteRef/>
      </w:r>
      <w:r w:rsidRPr="007C2600">
        <w:rPr>
          <w:rFonts w:ascii="Times New Roman" w:hAnsi="Times New Roman" w:cs="Times New Roman"/>
        </w:rPr>
        <w:t xml:space="preserve"> При междинно/окончателно плащане се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 при прилагане на следната формула: PV = FV/(1+i)t , където PV е сконтирана стойност, FV е реална стойност, i е лихвеният процент, а t – периода на изпълнение в години.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5EAC7" w14:textId="77777777" w:rsidR="00043C61" w:rsidRDefault="00043C61">
    <w:pPr>
      <w:pStyle w:val="aa"/>
    </w:pPr>
    <w:r>
      <w:rPr>
        <w:noProof/>
        <w:lang w:eastAsia="bg-BG"/>
      </w:rPr>
      <w:drawing>
        <wp:anchor distT="0" distB="0" distL="114300" distR="114300" simplePos="0" relativeHeight="251657215" behindDoc="0" locked="0" layoutInCell="1" allowOverlap="1" wp14:anchorId="65A8D7BB" wp14:editId="7F136A81">
          <wp:simplePos x="0" y="0"/>
          <wp:positionH relativeFrom="margin">
            <wp:posOffset>4747260</wp:posOffset>
          </wp:positionH>
          <wp:positionV relativeFrom="margin">
            <wp:posOffset>-1350645</wp:posOffset>
          </wp:positionV>
          <wp:extent cx="1013460" cy="914400"/>
          <wp:effectExtent l="0" t="0" r="0" b="0"/>
          <wp:wrapSquare wrapText="bothSides"/>
          <wp:docPr id="22" name="Картина 22" descr="logo-bg-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bg-cen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346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9264" behindDoc="0" locked="0" layoutInCell="1" allowOverlap="1" wp14:anchorId="70A4D355" wp14:editId="7E4C6161">
          <wp:simplePos x="0" y="0"/>
          <wp:positionH relativeFrom="margin">
            <wp:align>center</wp:align>
          </wp:positionH>
          <wp:positionV relativeFrom="topMargin">
            <wp:posOffset>378426</wp:posOffset>
          </wp:positionV>
          <wp:extent cx="609600" cy="609600"/>
          <wp:effectExtent l="0" t="0" r="0" b="0"/>
          <wp:wrapSquare wrapText="bothSides"/>
          <wp:docPr id="23" name="Картина 23"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bg-BG"/>
      </w:rPr>
      <w:drawing>
        <wp:anchor distT="0" distB="0" distL="114300" distR="114300" simplePos="0" relativeHeight="251658240" behindDoc="0" locked="0" layoutInCell="1" allowOverlap="1" wp14:anchorId="5340D008" wp14:editId="78799E3E">
          <wp:simplePos x="0" y="0"/>
          <wp:positionH relativeFrom="margin">
            <wp:posOffset>62265</wp:posOffset>
          </wp:positionH>
          <wp:positionV relativeFrom="topMargin">
            <wp:posOffset>345680</wp:posOffset>
          </wp:positionV>
          <wp:extent cx="918210" cy="609600"/>
          <wp:effectExtent l="0" t="0" r="0" b="0"/>
          <wp:wrapSquare wrapText="bothSides"/>
          <wp:docPr id="24" name="Картина 24"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821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AC99E7" w14:textId="77777777" w:rsidR="00043C61" w:rsidRDefault="00043C61">
    <w:pPr>
      <w:pStyle w:val="aa"/>
    </w:pPr>
  </w:p>
  <w:p w14:paraId="0B9902F2" w14:textId="77777777" w:rsidR="00043C61" w:rsidRDefault="00043C61">
    <w:pPr>
      <w:pStyle w:val="aa"/>
    </w:pPr>
  </w:p>
  <w:p w14:paraId="0812B118" w14:textId="77777777" w:rsidR="00043C61" w:rsidRDefault="00043C61">
    <w:pPr>
      <w:pStyle w:val="aa"/>
    </w:pPr>
  </w:p>
  <w:p w14:paraId="60F2FFDC" w14:textId="04E777BF" w:rsidR="00043C61" w:rsidRPr="00EB192A" w:rsidRDefault="00EB192A" w:rsidP="000769EC">
    <w:pPr>
      <w:pBdr>
        <w:bottom w:val="single" w:sz="4" w:space="1" w:color="auto"/>
      </w:pBdr>
      <w:spacing w:after="360" w:line="276" w:lineRule="auto"/>
      <w:jc w:val="center"/>
      <w:outlineLvl w:val="0"/>
      <w:rPr>
        <w:rFonts w:ascii="Times New Roman" w:hAnsi="Times New Roman" w:cs="Times New Roman"/>
        <w:b/>
        <w:bCs/>
        <w:i/>
        <w:iCs/>
        <w:sz w:val="20"/>
        <w:szCs w:val="20"/>
      </w:rPr>
    </w:pPr>
    <w:r>
      <w:rPr>
        <w:rFonts w:ascii="Times New Roman" w:hAnsi="Times New Roman" w:cs="Times New Roman"/>
        <w:b/>
        <w:bCs/>
        <w:i/>
        <w:iCs/>
        <w:sz w:val="20"/>
        <w:szCs w:val="20"/>
      </w:rPr>
      <w:t>Европейски фонд за регионално развитие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61335" w14:textId="43F346B9" w:rsidR="00DB3D04" w:rsidRDefault="00617FF8">
    <w:pPr>
      <w:pStyle w:val="aa"/>
    </w:pPr>
    <w:r>
      <w:rPr>
        <w:rFonts w:ascii="Times New Roman" w:hAnsi="Times New Roman" w:cs="Times New Roman"/>
        <w:b/>
        <w:i/>
        <w:iCs/>
        <w:noProof/>
        <w:color w:val="7F7F7F" w:themeColor="text1" w:themeTint="80"/>
        <w:sz w:val="20"/>
        <w:szCs w:val="20"/>
        <w:lang w:eastAsia="bg-BG"/>
      </w:rPr>
      <w:drawing>
        <wp:anchor distT="0" distB="0" distL="114300" distR="114300" simplePos="0" relativeHeight="251665408" behindDoc="0" locked="0" layoutInCell="1" allowOverlap="1" wp14:anchorId="094FB489" wp14:editId="096CA782">
          <wp:simplePos x="0" y="0"/>
          <wp:positionH relativeFrom="margin">
            <wp:posOffset>1345565</wp:posOffset>
          </wp:positionH>
          <wp:positionV relativeFrom="paragraph">
            <wp:posOffset>0</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00DB3D04" w:rsidRPr="00DB3D04">
      <w:rPr>
        <w:noProof/>
        <w:lang w:eastAsia="bg-BG"/>
      </w:rPr>
      <w:drawing>
        <wp:anchor distT="0" distB="0" distL="114300" distR="114300" simplePos="0" relativeHeight="251662336" behindDoc="0" locked="0" layoutInCell="1" allowOverlap="1" wp14:anchorId="5EA1C442" wp14:editId="752C6A34">
          <wp:simplePos x="0" y="0"/>
          <wp:positionH relativeFrom="margin">
            <wp:posOffset>0</wp:posOffset>
          </wp:positionH>
          <wp:positionV relativeFrom="topMargin">
            <wp:posOffset>447040</wp:posOffset>
          </wp:positionV>
          <wp:extent cx="918210" cy="609600"/>
          <wp:effectExtent l="0" t="0" r="0" b="0"/>
          <wp:wrapSquare wrapText="bothSides"/>
          <wp:docPr id="2" name="Картина 2"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Fujitsu\Desktop\Flag_of_Europe.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821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B4B04" w14:textId="7396EED1" w:rsidR="00617FF8" w:rsidRDefault="00617FF8" w:rsidP="00617FF8">
    <w:pPr>
      <w:pStyle w:val="aa"/>
      <w:tabs>
        <w:tab w:val="left" w:pos="2580"/>
        <w:tab w:val="left" w:pos="2985"/>
      </w:tabs>
      <w:spacing w:after="120" w:line="276" w:lineRule="auto"/>
      <w:rPr>
        <w:rFonts w:ascii="Times New Roman" w:hAnsi="Times New Roman" w:cs="Times New Roman"/>
        <w:b/>
        <w:color w:val="7F7F7F" w:themeColor="text1" w:themeTint="80"/>
        <w:sz w:val="32"/>
        <w:szCs w:val="32"/>
      </w:rPr>
    </w:pPr>
    <w:r>
      <w:rPr>
        <w:rFonts w:ascii="Times New Roman" w:hAnsi="Times New Roman" w:cs="Times New Roman"/>
        <w:b/>
        <w:noProof/>
        <w:color w:val="7F7F7F" w:themeColor="text1" w:themeTint="80"/>
        <w:sz w:val="32"/>
        <w:szCs w:val="32"/>
        <w:lang w:eastAsia="bg-BG"/>
      </w:rPr>
      <w:drawing>
        <wp:anchor distT="0" distB="0" distL="114300" distR="114300" simplePos="0" relativeHeight="251668480" behindDoc="0" locked="0" layoutInCell="1" allowOverlap="1" wp14:anchorId="4B89C539" wp14:editId="7F5FE8BB">
          <wp:simplePos x="0" y="0"/>
          <wp:positionH relativeFrom="margin">
            <wp:posOffset>2275840</wp:posOffset>
          </wp:positionH>
          <wp:positionV relativeFrom="margin">
            <wp:posOffset>-1176655</wp:posOffset>
          </wp:positionV>
          <wp:extent cx="1390650" cy="577850"/>
          <wp:effectExtent l="0" t="0" r="0" b="0"/>
          <wp:wrapSquare wrapText="bothSides"/>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rFonts w:ascii="Times New Roman" w:hAnsi="Times New Roman" w:cs="Times New Roman"/>
        <w:b/>
        <w:i/>
        <w:iCs/>
        <w:noProof/>
        <w:color w:val="7F7F7F" w:themeColor="text1" w:themeTint="80"/>
        <w:sz w:val="20"/>
        <w:szCs w:val="20"/>
        <w:lang w:eastAsia="bg-BG"/>
      </w:rPr>
      <w:drawing>
        <wp:anchor distT="0" distB="0" distL="114300" distR="114300" simplePos="0" relativeHeight="251666432" behindDoc="0" locked="0" layoutInCell="1" allowOverlap="1" wp14:anchorId="1D7043A6" wp14:editId="71CEBD63">
          <wp:simplePos x="0" y="0"/>
          <wp:positionH relativeFrom="margin">
            <wp:posOffset>10160</wp:posOffset>
          </wp:positionH>
          <wp:positionV relativeFrom="margin">
            <wp:posOffset>-1192530</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noProof/>
        <w:color w:val="7F7F7F" w:themeColor="text1" w:themeTint="80"/>
        <w:sz w:val="32"/>
        <w:szCs w:val="32"/>
        <w:lang w:eastAsia="bg-BG"/>
      </w:rPr>
      <w:drawing>
        <wp:anchor distT="0" distB="0" distL="114300" distR="114300" simplePos="0" relativeHeight="251667456" behindDoc="0" locked="0" layoutInCell="1" allowOverlap="1" wp14:anchorId="59B0768E" wp14:editId="61C113A7">
          <wp:simplePos x="0" y="0"/>
          <wp:positionH relativeFrom="margin">
            <wp:posOffset>4059312</wp:posOffset>
          </wp:positionH>
          <wp:positionV relativeFrom="margin">
            <wp:posOffset>-1176020</wp:posOffset>
          </wp:positionV>
          <wp:extent cx="2189480" cy="570865"/>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ogo-bg-color-edit.jpg"/>
                  <pic:cNvPicPr/>
                </pic:nvPicPr>
                <pic:blipFill>
                  <a:blip r:embed="rId4">
                    <a:extLst>
                      <a:ext uri="{28A0092B-C50C-407E-A947-70E740481C1C}">
                        <a14:useLocalDpi xmlns:a14="http://schemas.microsoft.com/office/drawing/2010/main" val="0"/>
                      </a:ext>
                    </a:extLst>
                  </a:blip>
                  <a:stretch>
                    <a:fillRect/>
                  </a:stretch>
                </pic:blipFill>
                <pic:spPr>
                  <a:xfrm>
                    <a:off x="0" y="0"/>
                    <a:ext cx="2189480" cy="57086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color w:val="7F7F7F" w:themeColor="text1" w:themeTint="80"/>
        <w:sz w:val="32"/>
        <w:szCs w:val="32"/>
      </w:rPr>
      <w:t xml:space="preserve">          </w:t>
    </w:r>
  </w:p>
  <w:p w14:paraId="5DA98615" w14:textId="77777777" w:rsidR="00617FF8" w:rsidRDefault="00617FF8" w:rsidP="00617FF8">
    <w:pPr>
      <w:pStyle w:val="aa"/>
      <w:tabs>
        <w:tab w:val="left" w:pos="2580"/>
        <w:tab w:val="left" w:pos="2985"/>
      </w:tabs>
      <w:spacing w:after="120" w:line="276" w:lineRule="auto"/>
      <w:rPr>
        <w:rFonts w:ascii="Times New Roman" w:hAnsi="Times New Roman" w:cs="Times New Roman"/>
        <w:b/>
        <w:color w:val="7F7F7F" w:themeColor="text1" w:themeTint="80"/>
        <w:sz w:val="32"/>
        <w:szCs w:val="32"/>
      </w:rPr>
    </w:pPr>
    <w:r>
      <w:rPr>
        <w:rFonts w:ascii="Times New Roman" w:hAnsi="Times New Roman" w:cs="Times New Roman"/>
        <w:b/>
        <w:color w:val="7F7F7F" w:themeColor="text1" w:themeTint="80"/>
        <w:sz w:val="32"/>
        <w:szCs w:val="32"/>
      </w:rPr>
      <w:t xml:space="preserve">                                            </w:t>
    </w:r>
  </w:p>
  <w:p w14:paraId="52FFE2CB" w14:textId="1A8666FB" w:rsidR="00DB3D04" w:rsidRDefault="00DB3D04" w:rsidP="00DB3D04">
    <w:pPr>
      <w:pStyle w:val="aa"/>
      <w:pBdr>
        <w:bottom w:val="single" w:sz="4" w:space="1" w:color="auto"/>
      </w:pBdr>
      <w:jc w:val="center"/>
    </w:pPr>
    <w:r>
      <w:rPr>
        <w:rFonts w:ascii="Times New Roman" w:hAnsi="Times New Roman" w:cs="Times New Roman"/>
        <w:b/>
        <w:bCs/>
        <w:i/>
        <w:iCs/>
        <w:sz w:val="20"/>
        <w:szCs w:val="20"/>
      </w:rPr>
      <w:t>Европейски фонд за регионално развитие</w:t>
    </w:r>
  </w:p>
  <w:p w14:paraId="2EA2A2B0" w14:textId="510813E0" w:rsidR="00DB3D04" w:rsidRDefault="00DB3D04">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398"/>
    <w:rsid w:val="00005DF9"/>
    <w:rsid w:val="00011696"/>
    <w:rsid w:val="000128DA"/>
    <w:rsid w:val="00034E0E"/>
    <w:rsid w:val="00043C61"/>
    <w:rsid w:val="00045CC7"/>
    <w:rsid w:val="00064448"/>
    <w:rsid w:val="000748B7"/>
    <w:rsid w:val="000769EC"/>
    <w:rsid w:val="000828B4"/>
    <w:rsid w:val="00085F27"/>
    <w:rsid w:val="000A0C25"/>
    <w:rsid w:val="000A1CEE"/>
    <w:rsid w:val="000C6D45"/>
    <w:rsid w:val="000D15E2"/>
    <w:rsid w:val="000D3A02"/>
    <w:rsid w:val="000F7332"/>
    <w:rsid w:val="00105398"/>
    <w:rsid w:val="00107A35"/>
    <w:rsid w:val="0011128B"/>
    <w:rsid w:val="00161C76"/>
    <w:rsid w:val="00165BF2"/>
    <w:rsid w:val="00165E43"/>
    <w:rsid w:val="001708CB"/>
    <w:rsid w:val="00173E4A"/>
    <w:rsid w:val="001A169D"/>
    <w:rsid w:val="001A7452"/>
    <w:rsid w:val="001C075E"/>
    <w:rsid w:val="001C7B1B"/>
    <w:rsid w:val="00204E77"/>
    <w:rsid w:val="002053FA"/>
    <w:rsid w:val="00210F6F"/>
    <w:rsid w:val="00216AC1"/>
    <w:rsid w:val="00231668"/>
    <w:rsid w:val="00233F40"/>
    <w:rsid w:val="00244A9D"/>
    <w:rsid w:val="0025091A"/>
    <w:rsid w:val="00251AED"/>
    <w:rsid w:val="00264D6A"/>
    <w:rsid w:val="0028265F"/>
    <w:rsid w:val="00286554"/>
    <w:rsid w:val="002A3525"/>
    <w:rsid w:val="002B1AA1"/>
    <w:rsid w:val="002C5D48"/>
    <w:rsid w:val="002D4417"/>
    <w:rsid w:val="002D48EB"/>
    <w:rsid w:val="002E25BB"/>
    <w:rsid w:val="002E7724"/>
    <w:rsid w:val="003010C6"/>
    <w:rsid w:val="00326D99"/>
    <w:rsid w:val="00362418"/>
    <w:rsid w:val="00364415"/>
    <w:rsid w:val="003B6598"/>
    <w:rsid w:val="003C4B90"/>
    <w:rsid w:val="003D6D06"/>
    <w:rsid w:val="00402F2B"/>
    <w:rsid w:val="004053C9"/>
    <w:rsid w:val="00421E9D"/>
    <w:rsid w:val="004311DF"/>
    <w:rsid w:val="004449B1"/>
    <w:rsid w:val="00451256"/>
    <w:rsid w:val="00453C84"/>
    <w:rsid w:val="00455E54"/>
    <w:rsid w:val="00465A62"/>
    <w:rsid w:val="00476A79"/>
    <w:rsid w:val="00486229"/>
    <w:rsid w:val="004A1664"/>
    <w:rsid w:val="004A3AE4"/>
    <w:rsid w:val="004A3FAD"/>
    <w:rsid w:val="004B4568"/>
    <w:rsid w:val="004B5999"/>
    <w:rsid w:val="004C03A7"/>
    <w:rsid w:val="004C5002"/>
    <w:rsid w:val="004C705E"/>
    <w:rsid w:val="00527FA0"/>
    <w:rsid w:val="00540296"/>
    <w:rsid w:val="00544EFF"/>
    <w:rsid w:val="00567BC2"/>
    <w:rsid w:val="0058289A"/>
    <w:rsid w:val="0058779B"/>
    <w:rsid w:val="005A4D13"/>
    <w:rsid w:val="005B455C"/>
    <w:rsid w:val="005C6C3B"/>
    <w:rsid w:val="005D1A57"/>
    <w:rsid w:val="005D2C0B"/>
    <w:rsid w:val="00601AE6"/>
    <w:rsid w:val="00611CED"/>
    <w:rsid w:val="00617FF8"/>
    <w:rsid w:val="006265CE"/>
    <w:rsid w:val="00651084"/>
    <w:rsid w:val="006719CB"/>
    <w:rsid w:val="00674023"/>
    <w:rsid w:val="00681BA4"/>
    <w:rsid w:val="00697EBB"/>
    <w:rsid w:val="006E111E"/>
    <w:rsid w:val="006F19D0"/>
    <w:rsid w:val="006F7AC1"/>
    <w:rsid w:val="007153DA"/>
    <w:rsid w:val="007244BE"/>
    <w:rsid w:val="00736006"/>
    <w:rsid w:val="007469CE"/>
    <w:rsid w:val="00761F05"/>
    <w:rsid w:val="00771A28"/>
    <w:rsid w:val="00774BDA"/>
    <w:rsid w:val="00785FDE"/>
    <w:rsid w:val="00791C35"/>
    <w:rsid w:val="00793F8C"/>
    <w:rsid w:val="007A04AC"/>
    <w:rsid w:val="007B32D4"/>
    <w:rsid w:val="007B689D"/>
    <w:rsid w:val="007B75D4"/>
    <w:rsid w:val="007C2600"/>
    <w:rsid w:val="007E5C51"/>
    <w:rsid w:val="0080272C"/>
    <w:rsid w:val="00830918"/>
    <w:rsid w:val="0083334D"/>
    <w:rsid w:val="00854AF2"/>
    <w:rsid w:val="008552D8"/>
    <w:rsid w:val="00856211"/>
    <w:rsid w:val="00857BBD"/>
    <w:rsid w:val="00880C86"/>
    <w:rsid w:val="00885856"/>
    <w:rsid w:val="00894953"/>
    <w:rsid w:val="008A2CE4"/>
    <w:rsid w:val="008B4619"/>
    <w:rsid w:val="008C7D20"/>
    <w:rsid w:val="008E3F46"/>
    <w:rsid w:val="008F139A"/>
    <w:rsid w:val="008F16D7"/>
    <w:rsid w:val="00903565"/>
    <w:rsid w:val="009225DC"/>
    <w:rsid w:val="00927C47"/>
    <w:rsid w:val="00930DCA"/>
    <w:rsid w:val="009439FF"/>
    <w:rsid w:val="0097604A"/>
    <w:rsid w:val="009842D2"/>
    <w:rsid w:val="009871AB"/>
    <w:rsid w:val="009A6039"/>
    <w:rsid w:val="009B789F"/>
    <w:rsid w:val="009C0622"/>
    <w:rsid w:val="009C602D"/>
    <w:rsid w:val="009D057B"/>
    <w:rsid w:val="009E3746"/>
    <w:rsid w:val="00A1351F"/>
    <w:rsid w:val="00A1605B"/>
    <w:rsid w:val="00A37526"/>
    <w:rsid w:val="00A560E9"/>
    <w:rsid w:val="00A8059E"/>
    <w:rsid w:val="00A82269"/>
    <w:rsid w:val="00A8323A"/>
    <w:rsid w:val="00A83567"/>
    <w:rsid w:val="00A83D2E"/>
    <w:rsid w:val="00A84775"/>
    <w:rsid w:val="00A9133E"/>
    <w:rsid w:val="00AE6D78"/>
    <w:rsid w:val="00AF5678"/>
    <w:rsid w:val="00B3128C"/>
    <w:rsid w:val="00B34D9F"/>
    <w:rsid w:val="00B47166"/>
    <w:rsid w:val="00B67F69"/>
    <w:rsid w:val="00B867CD"/>
    <w:rsid w:val="00BA4F3C"/>
    <w:rsid w:val="00BA6736"/>
    <w:rsid w:val="00BB08E7"/>
    <w:rsid w:val="00BE0BEE"/>
    <w:rsid w:val="00C130D2"/>
    <w:rsid w:val="00C34D3A"/>
    <w:rsid w:val="00C37EED"/>
    <w:rsid w:val="00C441AA"/>
    <w:rsid w:val="00C56F8F"/>
    <w:rsid w:val="00C72C7E"/>
    <w:rsid w:val="00C73D59"/>
    <w:rsid w:val="00C76739"/>
    <w:rsid w:val="00C84797"/>
    <w:rsid w:val="00C941CB"/>
    <w:rsid w:val="00CC474B"/>
    <w:rsid w:val="00CD4271"/>
    <w:rsid w:val="00CF23ED"/>
    <w:rsid w:val="00D03AD4"/>
    <w:rsid w:val="00D12D64"/>
    <w:rsid w:val="00D13858"/>
    <w:rsid w:val="00D45D99"/>
    <w:rsid w:val="00D97992"/>
    <w:rsid w:val="00DB3D04"/>
    <w:rsid w:val="00DB55BC"/>
    <w:rsid w:val="00DB6B6B"/>
    <w:rsid w:val="00DC5A51"/>
    <w:rsid w:val="00E00617"/>
    <w:rsid w:val="00E36814"/>
    <w:rsid w:val="00E47B61"/>
    <w:rsid w:val="00E506FD"/>
    <w:rsid w:val="00E67874"/>
    <w:rsid w:val="00E76765"/>
    <w:rsid w:val="00EA5AE7"/>
    <w:rsid w:val="00EB192A"/>
    <w:rsid w:val="00EB2689"/>
    <w:rsid w:val="00EC4EF5"/>
    <w:rsid w:val="00EC4FA3"/>
    <w:rsid w:val="00ED26FA"/>
    <w:rsid w:val="00EE476A"/>
    <w:rsid w:val="00EF34AF"/>
    <w:rsid w:val="00F07E03"/>
    <w:rsid w:val="00F40C14"/>
    <w:rsid w:val="00F41CEB"/>
    <w:rsid w:val="00F50097"/>
    <w:rsid w:val="00F951F4"/>
    <w:rsid w:val="00FA7465"/>
    <w:rsid w:val="00FC63F4"/>
    <w:rsid w:val="00FE108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6B8734"/>
  <w15:chartTrackingRefBased/>
  <w15:docId w15:val="{58CE3239-A7BC-496F-AAF1-0EA8EC67E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37EE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C37EE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0769EC"/>
    <w:rPr>
      <w:sz w:val="16"/>
      <w:szCs w:val="16"/>
    </w:rPr>
  </w:style>
  <w:style w:type="paragraph" w:styleId="a4">
    <w:name w:val="annotation text"/>
    <w:basedOn w:val="a"/>
    <w:link w:val="a5"/>
    <w:uiPriority w:val="99"/>
    <w:semiHidden/>
    <w:unhideWhenUsed/>
    <w:rsid w:val="000769EC"/>
    <w:pPr>
      <w:spacing w:line="240" w:lineRule="auto"/>
    </w:pPr>
    <w:rPr>
      <w:sz w:val="20"/>
      <w:szCs w:val="20"/>
    </w:rPr>
  </w:style>
  <w:style w:type="character" w:customStyle="1" w:styleId="a5">
    <w:name w:val="Текст на коментар Знак"/>
    <w:basedOn w:val="a0"/>
    <w:link w:val="a4"/>
    <w:uiPriority w:val="99"/>
    <w:semiHidden/>
    <w:rsid w:val="000769EC"/>
    <w:rPr>
      <w:sz w:val="20"/>
      <w:szCs w:val="20"/>
    </w:rPr>
  </w:style>
  <w:style w:type="paragraph" w:styleId="a6">
    <w:name w:val="annotation subject"/>
    <w:basedOn w:val="a4"/>
    <w:next w:val="a4"/>
    <w:link w:val="a7"/>
    <w:uiPriority w:val="99"/>
    <w:semiHidden/>
    <w:unhideWhenUsed/>
    <w:rsid w:val="000769EC"/>
    <w:rPr>
      <w:b/>
      <w:bCs/>
    </w:rPr>
  </w:style>
  <w:style w:type="character" w:customStyle="1" w:styleId="a7">
    <w:name w:val="Предмет на коментар Знак"/>
    <w:basedOn w:val="a5"/>
    <w:link w:val="a6"/>
    <w:uiPriority w:val="99"/>
    <w:semiHidden/>
    <w:rsid w:val="000769EC"/>
    <w:rPr>
      <w:b/>
      <w:bCs/>
      <w:sz w:val="20"/>
      <w:szCs w:val="20"/>
    </w:rPr>
  </w:style>
  <w:style w:type="paragraph" w:styleId="a8">
    <w:name w:val="Balloon Text"/>
    <w:basedOn w:val="a"/>
    <w:link w:val="a9"/>
    <w:uiPriority w:val="99"/>
    <w:semiHidden/>
    <w:unhideWhenUsed/>
    <w:rsid w:val="000769EC"/>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0769EC"/>
    <w:rPr>
      <w:rFonts w:ascii="Segoe UI" w:hAnsi="Segoe UI" w:cs="Segoe UI"/>
      <w:sz w:val="18"/>
      <w:szCs w:val="18"/>
    </w:rPr>
  </w:style>
  <w:style w:type="paragraph" w:styleId="aa">
    <w:name w:val="header"/>
    <w:basedOn w:val="a"/>
    <w:link w:val="ab"/>
    <w:uiPriority w:val="99"/>
    <w:unhideWhenUsed/>
    <w:rsid w:val="000769EC"/>
    <w:pPr>
      <w:tabs>
        <w:tab w:val="center" w:pos="4536"/>
        <w:tab w:val="right" w:pos="9072"/>
      </w:tabs>
      <w:spacing w:after="0" w:line="240" w:lineRule="auto"/>
    </w:pPr>
  </w:style>
  <w:style w:type="character" w:customStyle="1" w:styleId="ab">
    <w:name w:val="Горен колонтитул Знак"/>
    <w:basedOn w:val="a0"/>
    <w:link w:val="aa"/>
    <w:uiPriority w:val="99"/>
    <w:rsid w:val="000769EC"/>
  </w:style>
  <w:style w:type="paragraph" w:styleId="ac">
    <w:name w:val="footer"/>
    <w:basedOn w:val="a"/>
    <w:link w:val="ad"/>
    <w:uiPriority w:val="99"/>
    <w:unhideWhenUsed/>
    <w:rsid w:val="000769EC"/>
    <w:pPr>
      <w:tabs>
        <w:tab w:val="center" w:pos="4536"/>
        <w:tab w:val="right" w:pos="9072"/>
      </w:tabs>
      <w:spacing w:after="0" w:line="240" w:lineRule="auto"/>
    </w:pPr>
  </w:style>
  <w:style w:type="character" w:customStyle="1" w:styleId="ad">
    <w:name w:val="Долен колонтитул Знак"/>
    <w:basedOn w:val="a0"/>
    <w:link w:val="ac"/>
    <w:uiPriority w:val="99"/>
    <w:rsid w:val="000769EC"/>
  </w:style>
  <w:style w:type="character" w:styleId="ae">
    <w:name w:val="Hyperlink"/>
    <w:uiPriority w:val="99"/>
    <w:rsid w:val="000769EC"/>
    <w:rPr>
      <w:color w:val="000080"/>
      <w:u w:val="single"/>
    </w:rPr>
  </w:style>
  <w:style w:type="character" w:customStyle="1" w:styleId="10">
    <w:name w:val="Заглавие 1 Знак"/>
    <w:basedOn w:val="a0"/>
    <w:link w:val="1"/>
    <w:uiPriority w:val="9"/>
    <w:rsid w:val="00C37EED"/>
    <w:rPr>
      <w:rFonts w:asciiTheme="majorHAnsi" w:eastAsiaTheme="majorEastAsia" w:hAnsiTheme="majorHAnsi" w:cstheme="majorBidi"/>
      <w:color w:val="2E74B5" w:themeColor="accent1" w:themeShade="BF"/>
      <w:sz w:val="32"/>
      <w:szCs w:val="32"/>
    </w:rPr>
  </w:style>
  <w:style w:type="character" w:customStyle="1" w:styleId="20">
    <w:name w:val="Заглавие 2 Знак"/>
    <w:basedOn w:val="a0"/>
    <w:link w:val="2"/>
    <w:uiPriority w:val="9"/>
    <w:rsid w:val="00C37EED"/>
    <w:rPr>
      <w:rFonts w:asciiTheme="majorHAnsi" w:eastAsiaTheme="majorEastAsia" w:hAnsiTheme="majorHAnsi" w:cstheme="majorBidi"/>
      <w:color w:val="2E74B5" w:themeColor="accent1" w:themeShade="BF"/>
      <w:sz w:val="26"/>
      <w:szCs w:val="26"/>
    </w:rPr>
  </w:style>
  <w:style w:type="paragraph" w:styleId="af">
    <w:name w:val="TOC Heading"/>
    <w:basedOn w:val="1"/>
    <w:next w:val="a"/>
    <w:uiPriority w:val="39"/>
    <w:unhideWhenUsed/>
    <w:qFormat/>
    <w:rsid w:val="00165BF2"/>
    <w:pPr>
      <w:outlineLvl w:val="9"/>
    </w:pPr>
    <w:rPr>
      <w:lang w:eastAsia="bg-BG"/>
    </w:rPr>
  </w:style>
  <w:style w:type="paragraph" w:styleId="11">
    <w:name w:val="toc 1"/>
    <w:basedOn w:val="a"/>
    <w:next w:val="a"/>
    <w:autoRedefine/>
    <w:uiPriority w:val="39"/>
    <w:unhideWhenUsed/>
    <w:rsid w:val="00165BF2"/>
    <w:pPr>
      <w:spacing w:after="100"/>
    </w:pPr>
  </w:style>
  <w:style w:type="paragraph" w:styleId="21">
    <w:name w:val="toc 2"/>
    <w:basedOn w:val="a"/>
    <w:next w:val="a"/>
    <w:autoRedefine/>
    <w:uiPriority w:val="39"/>
    <w:unhideWhenUsed/>
    <w:rsid w:val="00165BF2"/>
    <w:pPr>
      <w:spacing w:after="100"/>
      <w:ind w:left="220"/>
    </w:pPr>
  </w:style>
  <w:style w:type="table" w:styleId="af0">
    <w:name w:val="Table Grid"/>
    <w:basedOn w:val="a1"/>
    <w:uiPriority w:val="39"/>
    <w:rsid w:val="00107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885856"/>
    <w:rPr>
      <w:color w:val="954F72" w:themeColor="followedHyperlink"/>
      <w:u w:val="single"/>
    </w:rPr>
  </w:style>
  <w:style w:type="paragraph" w:styleId="af2">
    <w:name w:val="footnote text"/>
    <w:basedOn w:val="a"/>
    <w:link w:val="af3"/>
    <w:uiPriority w:val="99"/>
    <w:semiHidden/>
    <w:unhideWhenUsed/>
    <w:rsid w:val="00BE0BEE"/>
    <w:pPr>
      <w:spacing w:after="0" w:line="240" w:lineRule="auto"/>
    </w:pPr>
    <w:rPr>
      <w:sz w:val="20"/>
      <w:szCs w:val="20"/>
    </w:rPr>
  </w:style>
  <w:style w:type="character" w:customStyle="1" w:styleId="af3">
    <w:name w:val="Текст под линия Знак"/>
    <w:basedOn w:val="a0"/>
    <w:link w:val="af2"/>
    <w:uiPriority w:val="99"/>
    <w:semiHidden/>
    <w:rsid w:val="00BE0BEE"/>
    <w:rPr>
      <w:sz w:val="20"/>
      <w:szCs w:val="20"/>
    </w:rPr>
  </w:style>
  <w:style w:type="character" w:styleId="af4">
    <w:name w:val="footnote reference"/>
    <w:basedOn w:val="a0"/>
    <w:uiPriority w:val="99"/>
    <w:semiHidden/>
    <w:unhideWhenUsed/>
    <w:rsid w:val="00BE0BEE"/>
    <w:rPr>
      <w:vertAlign w:val="superscript"/>
    </w:rPr>
  </w:style>
  <w:style w:type="paragraph" w:customStyle="1" w:styleId="Guidelines1">
    <w:name w:val="Guidelines 1"/>
    <w:basedOn w:val="11"/>
    <w:rsid w:val="00D13858"/>
    <w:pPr>
      <w:pageBreakBefore/>
      <w:tabs>
        <w:tab w:val="left" w:pos="180"/>
        <w:tab w:val="right" w:leader="dot" w:pos="9900"/>
      </w:tabs>
      <w:spacing w:before="120" w:after="480" w:line="240" w:lineRule="auto"/>
      <w:ind w:left="488" w:right="381" w:hanging="488"/>
      <w:jc w:val="both"/>
    </w:pPr>
    <w:rPr>
      <w:rFonts w:ascii="Times New Roman" w:eastAsia="Times New Roman" w:hAnsi="Times New Roman" w:cs="Times New Roman"/>
      <w:bCs/>
      <w:caps/>
      <w:noProof/>
      <w:snapToGrid w:val="0"/>
      <w:sz w:val="24"/>
      <w:szCs w:val="24"/>
      <w:lang w:val="en-GB"/>
    </w:rPr>
  </w:style>
  <w:style w:type="paragraph" w:customStyle="1" w:styleId="CM1">
    <w:name w:val="CM1"/>
    <w:basedOn w:val="a"/>
    <w:next w:val="a"/>
    <w:rsid w:val="00D13858"/>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customStyle="1" w:styleId="CM4">
    <w:name w:val="CM4"/>
    <w:basedOn w:val="a"/>
    <w:next w:val="a"/>
    <w:rsid w:val="00D13858"/>
    <w:pPr>
      <w:autoSpaceDE w:val="0"/>
      <w:autoSpaceDN w:val="0"/>
      <w:adjustRightInd w:val="0"/>
      <w:spacing w:after="0" w:line="240" w:lineRule="auto"/>
    </w:pPr>
    <w:rPr>
      <w:rFonts w:ascii="EUAlbertina" w:eastAsia="Times New Roman" w:hAnsi="EUAlbertina"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teaid.minfin.bg/bg/page/42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pic.bg/opik/rkovodstvo-za-izplnenie-na-dbfp-po-operativna-programa-inovatsii-i-konkurentosposobnost-2014-2020"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pic.bg/informatsiya-i-publichnost/grafichni-iziskvaniy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jp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D85B9-10E3-4D05-B56C-02793BFF2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3330</Words>
  <Characters>18985</Characters>
  <Application>Microsoft Office Word</Application>
  <DocSecurity>0</DocSecurity>
  <Lines>158</Lines>
  <Paragraphs>44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Fujitsu</cp:lastModifiedBy>
  <cp:revision>20</cp:revision>
  <dcterms:created xsi:type="dcterms:W3CDTF">2017-12-05T07:59:00Z</dcterms:created>
  <dcterms:modified xsi:type="dcterms:W3CDTF">2020-08-07T12:11:00Z</dcterms:modified>
</cp:coreProperties>
</file>