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B" w:rsidRPr="00B30094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МЕТОДИКА ЗА ОЦЕНКА НА ФИНАНСОВИЯ КАПАЦИТЕТ НА </w:t>
      </w:r>
    </w:p>
    <w:p w:rsidR="0090257B" w:rsidRPr="00B30094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F91D12" w:rsidRPr="00B30094">
        <w:rPr>
          <w:rFonts w:ascii="Times New Roman" w:hAnsi="Times New Roman" w:cs="Times New Roman"/>
          <w:b/>
          <w:sz w:val="24"/>
          <w:szCs w:val="24"/>
        </w:rPr>
        <w:t>/</w:t>
      </w:r>
      <w:r w:rsidR="00F91D12"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ПАРТНЬОРИТЕ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 ОПЕРАТИВНА ПРОГРАМА </w:t>
      </w:r>
    </w:p>
    <w:p w:rsidR="00B938A0" w:rsidRPr="00B30094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 3, т.(г) от Регламент 1303/2013, член 196, ал. 1 от Регламент 1268/2012 и член 202, ал. 2 и ал. 3 от Регламент 1268/2012.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016062" w:rsidRPr="00B30094" w:rsidRDefault="00016062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Когато кандидатите/партньорите са различни от общини и не са новосъздадени организации се извършва служебна проверка в Националния статистически институт (НСИ) на данните от счетоводния баланс на организацията за последната финансова година (текуща печалба/загуба, стойност на собствения капитал и стойност на актива). В случай че кандидатът/партньорите не са представили в НСИ финансови отчети за предходната финансова година, следва да приложат счетоводният баланс</w:t>
      </w:r>
      <w:r w:rsidR="00074A0E">
        <w:rPr>
          <w:rFonts w:ascii="Times New Roman" w:hAnsi="Times New Roman" w:cs="Times New Roman"/>
          <w:sz w:val="24"/>
          <w:szCs w:val="24"/>
          <w:lang w:val="bg-BG"/>
        </w:rPr>
        <w:t xml:space="preserve"> за 2019 г.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в секция 12 на ИСУН 2020 на етап подаване на проектно предложение.</w:t>
      </w:r>
    </w:p>
    <w:p w:rsidR="00016062" w:rsidRDefault="007A61EC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A61EC" w:rsidRPr="00B30094" w:rsidRDefault="007A61EC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B30094">
        <w:rPr>
          <w:rFonts w:ascii="Times New Roman" w:hAnsi="Times New Roman" w:cs="Times New Roman"/>
          <w:sz w:val="24"/>
          <w:szCs w:val="24"/>
          <w:lang w:val="bg-BG"/>
        </w:rPr>
        <w:t>новорегистрирана</w:t>
      </w:r>
      <w:proofErr w:type="spellEnd"/>
      <w:r w:rsidRPr="00B30094">
        <w:rPr>
          <w:rFonts w:ascii="Times New Roman" w:hAnsi="Times New Roman" w:cs="Times New Roman"/>
          <w:sz w:val="24"/>
          <w:szCs w:val="24"/>
          <w:lang w:val="bg-BG"/>
        </w:rPr>
        <w:t>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:rsidR="00016062" w:rsidRPr="00B30094" w:rsidRDefault="00016062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Финансовият капацитет се изчислява на база Методика за оценка на финансовия капацитет на кандидатите/партньорите по Оперативна програма „Развитие на човешките ресурси“ 2014 – 2020 г. (Приложение за информация към Условията за кандидатстване.</w:t>
      </w:r>
    </w:p>
    <w:p w:rsidR="00016062" w:rsidRPr="00B30094" w:rsidRDefault="00016062" w:rsidP="00B30094">
      <w:pPr>
        <w:pStyle w:val="a3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a3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кандидатът е община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20% от размера на исканата БФП.</w:t>
      </w:r>
    </w:p>
    <w:p w:rsidR="00016062" w:rsidRPr="00B30094" w:rsidRDefault="00016062" w:rsidP="00B30094">
      <w:pPr>
        <w:pStyle w:val="a3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a3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партньорът е община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размера на средствата (БФП), които ще разходва партньорът по проекта.</w:t>
      </w:r>
    </w:p>
    <w:p w:rsidR="00F91D12" w:rsidRPr="00B30094" w:rsidRDefault="00F91D12" w:rsidP="00F91D1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В случай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методиката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F91D12" w:rsidRPr="00B30094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F91D12" w:rsidRPr="00B30094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коефициент за рентабилност. 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F91D12" w:rsidRPr="00B30094" w:rsidRDefault="00F91D12" w:rsidP="00F91D12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:rsidR="00F91D12" w:rsidRPr="00B30094" w:rsidRDefault="00F91D12" w:rsidP="00F91D12">
      <w:pPr>
        <w:numPr>
          <w:ilvl w:val="0"/>
          <w:numId w:val="11"/>
        </w:numPr>
        <w:spacing w:after="0"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F91D12" w:rsidRPr="00B30094" w:rsidRDefault="00F91D12" w:rsidP="00F91D1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bg-BG"/>
            </w:rPr>
            <m:t>Финансова независимост=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>Собствен капитал (код</m:t>
              </m:r>
              <m:r>
                <w:rPr>
                  <w:rFonts w:ascii="Cambria Math" w:eastAsia="Times New Roman" w:hAnsi="Cambria Math" w:cs="Times New Roman"/>
                  <w:i/>
                  <w:sz w:val="24"/>
                  <w:szCs w:val="24"/>
                  <w:vertAlign w:val="superscript"/>
                  <w:lang w:val="bg-BG"/>
                </w:rPr>
                <w:footnoteReference w:id="1"/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>Сума на актива (код 04500)</m:t>
              </m:r>
              <m:r>
                <w:rPr>
                  <w:rFonts w:ascii="Cambria Math" w:eastAsia="Times New Roman" w:hAnsi="Cambria Math" w:cs="Times New Roman"/>
                  <w:i/>
                  <w:sz w:val="24"/>
                  <w:szCs w:val="24"/>
                  <w:vertAlign w:val="superscript"/>
                  <w:lang w:val="bg-BG"/>
                </w:rPr>
                <w:footnoteReference w:id="2"/>
              </m:r>
            </m:den>
          </m:f>
        </m:oMath>
      </m:oMathPara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eastAsiaTheme="minorEastAsia" w:hAnsi="Times New Roman" w:cs="Times New Roman"/>
          <w:sz w:val="24"/>
          <w:szCs w:val="24"/>
        </w:rPr>
        <w:t>II</w:t>
      </w:r>
      <w:r w:rsidRPr="00B30094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.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  <m:t>Сума на актива (код 04500)</m:t>
            </m:r>
          </m:den>
        </m:f>
      </m:oMath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е по-близо съотношението до 1, толкова по-финансово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коефициентът на финансова независимост, толкова по-трудно ще бъде да получат кредити и външно финансиране.</w:t>
      </w:r>
    </w:p>
    <w:p w:rsidR="00F91D12" w:rsidRPr="00B30094" w:rsidRDefault="00F91D12" w:rsidP="00F91D12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Коефициентът на рентабилност измерва ефективността с която организациите използват своите активи.</w:t>
      </w:r>
    </w:p>
    <w:p w:rsidR="00F91D12" w:rsidRPr="00B30094" w:rsidRDefault="00F91D12" w:rsidP="00F91D12">
      <w:pPr>
        <w:numPr>
          <w:ilvl w:val="0"/>
          <w:numId w:val="11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 или добро) на финансовата стабилност на кандидатите се 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F91D12" w:rsidRPr="00B30094" w:rsidTr="00A348DF">
        <w:tc>
          <w:tcPr>
            <w:tcW w:w="3544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F91D12" w:rsidRPr="00B30094" w:rsidTr="00A348DF">
        <w:tc>
          <w:tcPr>
            <w:tcW w:w="3544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≥ 0,5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0,4 ≤ ФН &lt; 0,5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0,3 ≤ ФН &lt; 0,4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≤ ФН &lt; 0,3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F91D12" w:rsidRPr="00B30094" w:rsidTr="00A348DF">
        <w:trPr>
          <w:cantSplit/>
        </w:trPr>
        <w:tc>
          <w:tcPr>
            <w:tcW w:w="3544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F91D12" w:rsidRPr="00B30094" w:rsidRDefault="00F91D12" w:rsidP="00F91D1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F91D12" w:rsidRPr="00B30094" w:rsidTr="00A348DF">
        <w:tc>
          <w:tcPr>
            <w:tcW w:w="3402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F91D12" w:rsidRPr="00B30094" w:rsidTr="00A348DF">
        <w:tc>
          <w:tcPr>
            <w:tcW w:w="3402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F91D12" w:rsidRPr="00B30094" w:rsidRDefault="00F91D12" w:rsidP="00F91D12">
      <w:pPr>
        <w:numPr>
          <w:ilvl w:val="0"/>
          <w:numId w:val="11"/>
        </w:numPr>
        <w:spacing w:before="480" w:after="24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lastRenderedPageBreak/>
        <w:t>Кандидатът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Оценителната комисия отхвърля проектното предложение на кандидата на етап „Административно съответствие и допустимост“.</w:t>
      </w:r>
    </w:p>
    <w:p w:rsidR="00C4321A" w:rsidRPr="00B30094" w:rsidRDefault="00C4321A" w:rsidP="00F91D12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321A" w:rsidRPr="00B30094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919" w:rsidRDefault="000E2919" w:rsidP="00B938A0">
      <w:pPr>
        <w:spacing w:after="0" w:line="240" w:lineRule="auto"/>
      </w:pPr>
      <w:r>
        <w:separator/>
      </w:r>
    </w:p>
  </w:endnote>
  <w:endnote w:type="continuationSeparator" w:id="0">
    <w:p w:rsidR="000E2919" w:rsidRDefault="000E2919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919" w:rsidRDefault="000E2919" w:rsidP="00B938A0">
      <w:pPr>
        <w:spacing w:after="0" w:line="240" w:lineRule="auto"/>
      </w:pPr>
      <w:r>
        <w:separator/>
      </w:r>
    </w:p>
  </w:footnote>
  <w:footnote w:type="continuationSeparator" w:id="0">
    <w:p w:rsidR="000E2919" w:rsidRDefault="000E2919" w:rsidP="00B938A0">
      <w:pPr>
        <w:spacing w:after="0" w:line="240" w:lineRule="auto"/>
      </w:pPr>
      <w:r>
        <w:continuationSeparator/>
      </w:r>
    </w:p>
  </w:footnote>
  <w:footnote w:id="1">
    <w:p w:rsidR="00F91D12" w:rsidRPr="007632C1" w:rsidRDefault="00F91D12" w:rsidP="00F91D12">
      <w:pPr>
        <w:pStyle w:val="af1"/>
        <w:rPr>
          <w:rFonts w:ascii="Times New Roman" w:hAnsi="Times New Roman" w:cs="Times New Roman"/>
          <w:lang w:val="bg-BG"/>
        </w:rPr>
      </w:pPr>
      <w:r>
        <w:rPr>
          <w:rStyle w:val="af3"/>
        </w:rPr>
        <w:footnoteRef/>
      </w:r>
      <w:r w:rsidRPr="007632C1">
        <w:rPr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</w:p>
  </w:footnote>
  <w:footnote w:id="2">
    <w:p w:rsidR="00F91D12" w:rsidRPr="00DB4FBF" w:rsidRDefault="00F91D12" w:rsidP="00F91D12">
      <w:pPr>
        <w:pStyle w:val="af1"/>
        <w:rPr>
          <w:rFonts w:ascii="Times New Roman" w:hAnsi="Times New Roman" w:cs="Times New Roman"/>
          <w:lang w:val="bg-BG"/>
        </w:rPr>
      </w:pPr>
      <w:r w:rsidRPr="007632C1">
        <w:rPr>
          <w:rStyle w:val="af3"/>
          <w:rFonts w:ascii="Times New Roman" w:hAnsi="Times New Roman" w:cs="Times New Roman"/>
        </w:rPr>
        <w:footnoteRef/>
      </w:r>
      <w:r w:rsidRPr="007632C1">
        <w:rPr>
          <w:rFonts w:ascii="Times New Roman" w:hAnsi="Times New Roman" w:cs="Times New Roman"/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е </w:t>
      </w:r>
      <w:bookmarkStart w:id="0" w:name="_GoBack"/>
      <w:bookmarkEnd w:id="0"/>
      <w:r w:rsidRPr="00DB4FBF">
        <w:rPr>
          <w:rFonts w:ascii="Times New Roman" w:hAnsi="Times New Roman" w:cs="Times New Roman"/>
          <w:lang w:val="bg-BG"/>
        </w:rPr>
        <w:t xml:space="preserve">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</w:p>
    <w:p w:rsidR="00F91D12" w:rsidRPr="007632C1" w:rsidRDefault="00F91D12" w:rsidP="00F91D12">
      <w:pPr>
        <w:pStyle w:val="af1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16062"/>
    <w:rsid w:val="000229E1"/>
    <w:rsid w:val="00025870"/>
    <w:rsid w:val="000330D5"/>
    <w:rsid w:val="0003560B"/>
    <w:rsid w:val="00067A31"/>
    <w:rsid w:val="00074A0E"/>
    <w:rsid w:val="000C4B81"/>
    <w:rsid w:val="000E2919"/>
    <w:rsid w:val="00102707"/>
    <w:rsid w:val="00106B39"/>
    <w:rsid w:val="00162BE1"/>
    <w:rsid w:val="00180B28"/>
    <w:rsid w:val="001B39F2"/>
    <w:rsid w:val="001D41F5"/>
    <w:rsid w:val="0020207C"/>
    <w:rsid w:val="002058F8"/>
    <w:rsid w:val="0021304A"/>
    <w:rsid w:val="00225277"/>
    <w:rsid w:val="00265F3F"/>
    <w:rsid w:val="00273EEF"/>
    <w:rsid w:val="00275BB5"/>
    <w:rsid w:val="002A2527"/>
    <w:rsid w:val="002E05D6"/>
    <w:rsid w:val="002E5988"/>
    <w:rsid w:val="00304175"/>
    <w:rsid w:val="00305095"/>
    <w:rsid w:val="00305CE0"/>
    <w:rsid w:val="003200C9"/>
    <w:rsid w:val="00330143"/>
    <w:rsid w:val="003A4DF2"/>
    <w:rsid w:val="003E50D7"/>
    <w:rsid w:val="003E5162"/>
    <w:rsid w:val="003F4DBC"/>
    <w:rsid w:val="00417DCE"/>
    <w:rsid w:val="004313F7"/>
    <w:rsid w:val="0045595E"/>
    <w:rsid w:val="00471FC2"/>
    <w:rsid w:val="00492ACD"/>
    <w:rsid w:val="00497A27"/>
    <w:rsid w:val="004E0E1E"/>
    <w:rsid w:val="004F2B1C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007DA"/>
    <w:rsid w:val="006369D2"/>
    <w:rsid w:val="0066504F"/>
    <w:rsid w:val="00683044"/>
    <w:rsid w:val="006939C0"/>
    <w:rsid w:val="006A4C42"/>
    <w:rsid w:val="006A5DDC"/>
    <w:rsid w:val="00720EC0"/>
    <w:rsid w:val="00722AEE"/>
    <w:rsid w:val="007352C8"/>
    <w:rsid w:val="00754AE5"/>
    <w:rsid w:val="0077255F"/>
    <w:rsid w:val="00786495"/>
    <w:rsid w:val="007A61EC"/>
    <w:rsid w:val="007A6DAD"/>
    <w:rsid w:val="007C36FB"/>
    <w:rsid w:val="007D4C04"/>
    <w:rsid w:val="007E39A3"/>
    <w:rsid w:val="007E79C0"/>
    <w:rsid w:val="00811432"/>
    <w:rsid w:val="00826A81"/>
    <w:rsid w:val="00852E58"/>
    <w:rsid w:val="00853BE3"/>
    <w:rsid w:val="008909E8"/>
    <w:rsid w:val="008951F9"/>
    <w:rsid w:val="008C4A97"/>
    <w:rsid w:val="008C56E2"/>
    <w:rsid w:val="008E4E52"/>
    <w:rsid w:val="00901460"/>
    <w:rsid w:val="0090257B"/>
    <w:rsid w:val="009264A6"/>
    <w:rsid w:val="00970883"/>
    <w:rsid w:val="00996CD1"/>
    <w:rsid w:val="009B6BA8"/>
    <w:rsid w:val="009C1D21"/>
    <w:rsid w:val="009E37BF"/>
    <w:rsid w:val="009E4DD1"/>
    <w:rsid w:val="009E6616"/>
    <w:rsid w:val="009F4130"/>
    <w:rsid w:val="009F7052"/>
    <w:rsid w:val="00A12002"/>
    <w:rsid w:val="00AC30D9"/>
    <w:rsid w:val="00B1472B"/>
    <w:rsid w:val="00B25DEA"/>
    <w:rsid w:val="00B30094"/>
    <w:rsid w:val="00B60166"/>
    <w:rsid w:val="00B92F46"/>
    <w:rsid w:val="00B938A0"/>
    <w:rsid w:val="00BA0182"/>
    <w:rsid w:val="00BA11D9"/>
    <w:rsid w:val="00BC35FC"/>
    <w:rsid w:val="00BD3499"/>
    <w:rsid w:val="00BD3655"/>
    <w:rsid w:val="00BE205E"/>
    <w:rsid w:val="00BF0B9A"/>
    <w:rsid w:val="00BF6ADB"/>
    <w:rsid w:val="00C01AC6"/>
    <w:rsid w:val="00C4321A"/>
    <w:rsid w:val="00C46FB4"/>
    <w:rsid w:val="00C502A1"/>
    <w:rsid w:val="00C96189"/>
    <w:rsid w:val="00CD287E"/>
    <w:rsid w:val="00CF1C47"/>
    <w:rsid w:val="00D10335"/>
    <w:rsid w:val="00D12140"/>
    <w:rsid w:val="00D2243D"/>
    <w:rsid w:val="00D274CD"/>
    <w:rsid w:val="00D52230"/>
    <w:rsid w:val="00D56C7A"/>
    <w:rsid w:val="00D64BB9"/>
    <w:rsid w:val="00D84194"/>
    <w:rsid w:val="00D86AD8"/>
    <w:rsid w:val="00D90B7C"/>
    <w:rsid w:val="00D95438"/>
    <w:rsid w:val="00DC6AA5"/>
    <w:rsid w:val="00DE6775"/>
    <w:rsid w:val="00E15C50"/>
    <w:rsid w:val="00E40882"/>
    <w:rsid w:val="00E441C4"/>
    <w:rsid w:val="00E83B40"/>
    <w:rsid w:val="00E905F5"/>
    <w:rsid w:val="00ED38A4"/>
    <w:rsid w:val="00ED4EF0"/>
    <w:rsid w:val="00F1576F"/>
    <w:rsid w:val="00F16FBC"/>
    <w:rsid w:val="00F31669"/>
    <w:rsid w:val="00F34A34"/>
    <w:rsid w:val="00F52830"/>
    <w:rsid w:val="00F63B61"/>
    <w:rsid w:val="00F66FFC"/>
    <w:rsid w:val="00F72A0E"/>
    <w:rsid w:val="00F91D12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1738B-581B-4D96-872C-8E592E14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aliases w:val="List Paragraph1,List1,List Paragraph11,List Paragraph111,Colorful List - Accent 11,List Paragraph1111,ПАРАГРАФ"/>
    <w:basedOn w:val="a"/>
    <w:link w:val="a4"/>
    <w:uiPriority w:val="34"/>
    <w:qFormat/>
    <w:rsid w:val="0090146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B39F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938A0"/>
  </w:style>
  <w:style w:type="paragraph" w:styleId="aa">
    <w:name w:val="footer"/>
    <w:basedOn w:val="a"/>
    <w:link w:val="ab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938A0"/>
  </w:style>
  <w:style w:type="character" w:styleId="ac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34A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4A34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34A34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rsid w:val="002E05D6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4">
    <w:name w:val="Revision"/>
    <w:hidden/>
    <w:uiPriority w:val="99"/>
    <w:semiHidden/>
    <w:rsid w:val="00330143"/>
    <w:pPr>
      <w:spacing w:after="0" w:line="240" w:lineRule="auto"/>
    </w:pPr>
  </w:style>
  <w:style w:type="character" w:customStyle="1" w:styleId="a4">
    <w:name w:val="Списък на абзаци Знак"/>
    <w:aliases w:val="List Paragraph1 Знак,List1 Знак,List Paragraph11 Знак,List Paragraph111 Знак,Colorful List - Accent 11 Знак,List Paragraph1111 Знак,ПАРАГРАФ Знак"/>
    <w:link w:val="a3"/>
    <w:uiPriority w:val="34"/>
    <w:qFormat/>
    <w:locked/>
    <w:rsid w:val="00016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40DF-864B-4943-A5B9-C80F856F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HP</cp:lastModifiedBy>
  <cp:revision>109</cp:revision>
  <cp:lastPrinted>2017-05-09T07:27:00Z</cp:lastPrinted>
  <dcterms:created xsi:type="dcterms:W3CDTF">2015-05-14T13:29:00Z</dcterms:created>
  <dcterms:modified xsi:type="dcterms:W3CDTF">2020-09-28T10:30:00Z</dcterms:modified>
</cp:coreProperties>
</file>