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4E" w:rsidRDefault="000A2D4E" w:rsidP="000A2D4E">
      <w:pPr>
        <w:pStyle w:val="af1"/>
        <w:spacing w:line="240" w:lineRule="auto"/>
        <w:jc w:val="left"/>
        <w:rPr>
          <w:rFonts w:cs="Times New Roman"/>
          <w:b w:val="0"/>
          <w:sz w:val="24"/>
          <w:szCs w:val="24"/>
          <w:lang w:val="bg-BG"/>
        </w:rPr>
      </w:pPr>
    </w:p>
    <w:p w:rsidR="00D6262E" w:rsidRDefault="00D6262E" w:rsidP="00D6262E">
      <w:pPr>
        <w:pStyle w:val="af2"/>
        <w:rPr>
          <w:lang w:val="bg-BG"/>
        </w:rPr>
      </w:pPr>
      <w:r w:rsidRPr="00D6262E">
        <w:rPr>
          <w:b/>
          <w:noProof/>
          <w:lang w:val="bg-BG" w:eastAsia="bg-BG"/>
        </w:rPr>
        <w:drawing>
          <wp:inline distT="0" distB="0" distL="0" distR="0">
            <wp:extent cx="6030595" cy="74956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0595" cy="749565"/>
                    </a:xfrm>
                    <a:prstGeom prst="rect">
                      <a:avLst/>
                    </a:prstGeom>
                    <a:noFill/>
                  </pic:spPr>
                </pic:pic>
              </a:graphicData>
            </a:graphic>
          </wp:inline>
        </w:drawing>
      </w:r>
    </w:p>
    <w:p w:rsidR="00D6262E" w:rsidRDefault="00D6262E" w:rsidP="00D6262E">
      <w:pPr>
        <w:pStyle w:val="a9"/>
        <w:rPr>
          <w:lang w:val="bg-BG"/>
        </w:rPr>
      </w:pPr>
    </w:p>
    <w:p w:rsidR="00D6262E" w:rsidRDefault="00D6262E" w:rsidP="00D6262E">
      <w:pPr>
        <w:pBdr>
          <w:bottom w:val="single" w:sz="4" w:space="1" w:color="auto"/>
        </w:pBdr>
        <w:spacing w:line="276" w:lineRule="auto"/>
        <w:jc w:val="center"/>
        <w:rPr>
          <w:b/>
        </w:rPr>
      </w:pPr>
      <w:proofErr w:type="spellStart"/>
      <w:r w:rsidRPr="00344F07">
        <w:rPr>
          <w:b/>
          <w:bCs/>
          <w:i/>
          <w:iCs/>
        </w:rPr>
        <w:t>Европейски</w:t>
      </w:r>
      <w:proofErr w:type="spellEnd"/>
      <w:r w:rsidRPr="00344F07">
        <w:rPr>
          <w:b/>
          <w:bCs/>
          <w:i/>
          <w:iCs/>
        </w:rPr>
        <w:t xml:space="preserve"> </w:t>
      </w:r>
      <w:proofErr w:type="spellStart"/>
      <w:r w:rsidRPr="00344F07">
        <w:rPr>
          <w:b/>
          <w:bCs/>
          <w:i/>
          <w:iCs/>
        </w:rPr>
        <w:t>земеделски</w:t>
      </w:r>
      <w:proofErr w:type="spellEnd"/>
      <w:r w:rsidRPr="00344F07">
        <w:rPr>
          <w:b/>
          <w:bCs/>
          <w:i/>
          <w:iCs/>
        </w:rPr>
        <w:t xml:space="preserve"> </w:t>
      </w:r>
      <w:proofErr w:type="spellStart"/>
      <w:r w:rsidRPr="00344F07">
        <w:rPr>
          <w:b/>
          <w:bCs/>
          <w:i/>
          <w:iCs/>
        </w:rPr>
        <w:t>фонд</w:t>
      </w:r>
      <w:proofErr w:type="spellEnd"/>
      <w:r w:rsidRPr="00344F07">
        <w:rPr>
          <w:b/>
          <w:bCs/>
          <w:i/>
          <w:iCs/>
        </w:rPr>
        <w:t xml:space="preserve"> </w:t>
      </w:r>
      <w:proofErr w:type="spellStart"/>
      <w:r w:rsidRPr="00344F07">
        <w:rPr>
          <w:b/>
          <w:bCs/>
          <w:i/>
          <w:iCs/>
        </w:rPr>
        <w:t>за</w:t>
      </w:r>
      <w:proofErr w:type="spellEnd"/>
      <w:r w:rsidRPr="00344F07">
        <w:rPr>
          <w:b/>
          <w:bCs/>
          <w:i/>
          <w:iCs/>
        </w:rPr>
        <w:t xml:space="preserve"> </w:t>
      </w:r>
      <w:proofErr w:type="spellStart"/>
      <w:r w:rsidRPr="00344F07">
        <w:rPr>
          <w:b/>
          <w:bCs/>
          <w:i/>
          <w:iCs/>
        </w:rPr>
        <w:t>развитие</w:t>
      </w:r>
      <w:proofErr w:type="spellEnd"/>
      <w:r w:rsidRPr="00344F07">
        <w:rPr>
          <w:b/>
          <w:bCs/>
          <w:i/>
          <w:iCs/>
        </w:rPr>
        <w:t xml:space="preserve"> </w:t>
      </w:r>
      <w:proofErr w:type="spellStart"/>
      <w:r w:rsidRPr="00344F07">
        <w:rPr>
          <w:b/>
          <w:bCs/>
          <w:i/>
          <w:iCs/>
        </w:rPr>
        <w:t>на</w:t>
      </w:r>
      <w:proofErr w:type="spellEnd"/>
      <w:r w:rsidRPr="00344F07">
        <w:rPr>
          <w:b/>
          <w:bCs/>
          <w:i/>
          <w:iCs/>
        </w:rPr>
        <w:t xml:space="preserve"> </w:t>
      </w:r>
      <w:proofErr w:type="spellStart"/>
      <w:r w:rsidRPr="00344F07">
        <w:rPr>
          <w:b/>
          <w:bCs/>
          <w:i/>
          <w:iCs/>
        </w:rPr>
        <w:t>селските</w:t>
      </w:r>
      <w:proofErr w:type="spellEnd"/>
      <w:r w:rsidRPr="00344F07">
        <w:rPr>
          <w:b/>
          <w:bCs/>
          <w:i/>
          <w:iCs/>
        </w:rPr>
        <w:t xml:space="preserve"> </w:t>
      </w:r>
      <w:proofErr w:type="spellStart"/>
      <w:r w:rsidRPr="00344F07">
        <w:rPr>
          <w:b/>
          <w:bCs/>
          <w:i/>
          <w:iCs/>
        </w:rPr>
        <w:t>райони</w:t>
      </w:r>
      <w:proofErr w:type="spellEnd"/>
      <w:r w:rsidRPr="00344F07">
        <w:rPr>
          <w:b/>
          <w:bCs/>
          <w:i/>
          <w:iCs/>
        </w:rPr>
        <w:t xml:space="preserve">: Европа </w:t>
      </w:r>
      <w:proofErr w:type="spellStart"/>
      <w:r w:rsidRPr="00344F07">
        <w:rPr>
          <w:b/>
          <w:bCs/>
          <w:i/>
          <w:iCs/>
        </w:rPr>
        <w:t>инвестира</w:t>
      </w:r>
      <w:proofErr w:type="spellEnd"/>
      <w:r w:rsidRPr="00344F07">
        <w:rPr>
          <w:b/>
          <w:bCs/>
          <w:i/>
          <w:iCs/>
        </w:rPr>
        <w:t xml:space="preserve"> в </w:t>
      </w:r>
      <w:proofErr w:type="spellStart"/>
      <w:r w:rsidRPr="00344F07">
        <w:rPr>
          <w:b/>
          <w:bCs/>
          <w:i/>
          <w:iCs/>
        </w:rPr>
        <w:t>селските</w:t>
      </w:r>
      <w:proofErr w:type="spellEnd"/>
      <w:r w:rsidRPr="00344F07">
        <w:rPr>
          <w:b/>
          <w:bCs/>
          <w:i/>
          <w:iCs/>
        </w:rPr>
        <w:t xml:space="preserve"> </w:t>
      </w:r>
      <w:proofErr w:type="spellStart"/>
      <w:r w:rsidRPr="00344F07">
        <w:rPr>
          <w:b/>
          <w:bCs/>
          <w:i/>
          <w:iCs/>
        </w:rPr>
        <w:t>райони</w:t>
      </w:r>
      <w:proofErr w:type="spellEnd"/>
    </w:p>
    <w:p w:rsidR="00D6262E" w:rsidRPr="00D6262E" w:rsidRDefault="00D6262E" w:rsidP="00D6262E">
      <w:pPr>
        <w:pStyle w:val="a9"/>
        <w:rPr>
          <w:lang w:val="bg-BG"/>
        </w:rPr>
      </w:pPr>
    </w:p>
    <w:p w:rsidR="000A2D4E" w:rsidRPr="008673DD" w:rsidRDefault="000A2D4E" w:rsidP="000A2D4E">
      <w:pPr>
        <w:pStyle w:val="af1"/>
        <w:spacing w:line="240" w:lineRule="auto"/>
        <w:jc w:val="right"/>
        <w:rPr>
          <w:rFonts w:cs="Times New Roman"/>
          <w:b w:val="0"/>
          <w:sz w:val="24"/>
          <w:szCs w:val="24"/>
          <w:lang w:val="bg-BG"/>
        </w:rPr>
      </w:pPr>
    </w:p>
    <w:p w:rsidR="00D6262E" w:rsidRDefault="00D6262E" w:rsidP="00D6262E">
      <w:pPr>
        <w:spacing w:after="120"/>
        <w:ind w:left="5664" w:firstLine="708"/>
        <w:jc w:val="center"/>
        <w:outlineLvl w:val="0"/>
        <w:rPr>
          <w:b/>
          <w:bCs/>
          <w:snapToGrid w:val="0"/>
          <w:sz w:val="24"/>
          <w:szCs w:val="24"/>
          <w:lang w:val="ru-RU"/>
        </w:rPr>
      </w:pPr>
      <w:r>
        <w:rPr>
          <w:b/>
          <w:bCs/>
          <w:snapToGrid w:val="0"/>
          <w:sz w:val="24"/>
          <w:szCs w:val="24"/>
          <w:lang w:val="ru-RU"/>
        </w:rPr>
        <w:t>Приложение № 1</w:t>
      </w:r>
    </w:p>
    <w:p w:rsidR="00D6262E" w:rsidRDefault="00D6262E" w:rsidP="000A2D4E">
      <w:pPr>
        <w:spacing w:after="120"/>
        <w:jc w:val="center"/>
        <w:outlineLvl w:val="0"/>
        <w:rPr>
          <w:b/>
          <w:bCs/>
          <w:snapToGrid w:val="0"/>
          <w:sz w:val="24"/>
          <w:szCs w:val="24"/>
          <w:lang w:val="ru-RU"/>
        </w:rPr>
      </w:pPr>
    </w:p>
    <w:p w:rsidR="00D6262E" w:rsidRDefault="00D6262E" w:rsidP="000A2D4E">
      <w:pPr>
        <w:spacing w:after="120"/>
        <w:jc w:val="center"/>
        <w:outlineLvl w:val="0"/>
        <w:rPr>
          <w:b/>
          <w:bCs/>
          <w:snapToGrid w:val="0"/>
          <w:sz w:val="24"/>
          <w:szCs w:val="24"/>
          <w:lang w:val="ru-RU"/>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lastRenderedPageBreak/>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w:t>
            </w:r>
            <w:proofErr w:type="gramStart"/>
            <w:r w:rsidRPr="00D60D90">
              <w:rPr>
                <w:b/>
                <w:bCs/>
                <w:snapToGrid w:val="0"/>
                <w:lang w:val="ru-RU"/>
              </w:rPr>
              <w:t>…….</w:t>
            </w:r>
            <w:proofErr w:type="gramEnd"/>
            <w:r w:rsidRPr="00D60D90">
              <w:rPr>
                <w:b/>
                <w:bCs/>
                <w:snapToGrid w:val="0"/>
                <w:lang w:val="ru-RU"/>
              </w:rPr>
              <w:t>. г. до …………. г.</w:t>
            </w:r>
            <w:r w:rsidRPr="00D60D90">
              <w:rPr>
                <w:b/>
                <w:bCs/>
                <w:i/>
                <w:iCs/>
                <w:snapToGrid w:val="0"/>
                <w:lang w:val="ru-RU"/>
              </w:rPr>
              <w:t xml:space="preserve">; </w:t>
            </w:r>
            <w:r w:rsidRPr="00D60D90">
              <w:rPr>
                <w:b/>
                <w:bCs/>
                <w:snapToGrid w:val="0"/>
                <w:lang w:val="ru-RU"/>
              </w:rPr>
              <w:t xml:space="preserve">……… </w:t>
            </w:r>
            <w:proofErr w:type="spellStart"/>
            <w:r w:rsidRPr="00D60D90">
              <w:rPr>
                <w:b/>
                <w:bCs/>
                <w:snapToGrid w:val="0"/>
                <w:lang w:val="ru-RU"/>
              </w:rPr>
              <w:t>месеца</w:t>
            </w:r>
            <w:proofErr w:type="spellEnd"/>
            <w:r w:rsidRPr="00D60D90">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AE053E" w:rsidRPr="00AE053E" w:rsidRDefault="00AE053E" w:rsidP="00AE053E">
      <w:pPr>
        <w:tabs>
          <w:tab w:val="left" w:pos="-1701"/>
          <w:tab w:val="left" w:pos="-1560"/>
          <w:tab w:val="left" w:pos="-1440"/>
        </w:tabs>
        <w:suppressAutoHyphens w:val="0"/>
        <w:spacing w:before="240" w:after="240" w:line="360" w:lineRule="auto"/>
        <w:ind w:firstLine="720"/>
        <w:jc w:val="both"/>
        <w:rPr>
          <w:rFonts w:eastAsia="Calibri" w:cs="Times New Roman"/>
          <w:snapToGrid w:val="0"/>
          <w:sz w:val="24"/>
          <w:szCs w:val="24"/>
          <w:lang w:val="bg-BG" w:eastAsia="en-US"/>
        </w:rPr>
      </w:pPr>
      <w:r w:rsidRPr="00AE053E">
        <w:rPr>
          <w:rFonts w:eastAsia="Calibri" w:cs="Times New Roman"/>
          <w:b/>
          <w:snapToGrid w:val="0"/>
          <w:sz w:val="24"/>
          <w:szCs w:val="24"/>
          <w:lang w:val="bg-BG" w:eastAsia="en-US"/>
        </w:rPr>
        <w:t>„МЕСТНА ИНИЦИАТИВНА ГРУПА - ПОМОРИЕ</w:t>
      </w:r>
      <w:r w:rsidRPr="00AE053E">
        <w:rPr>
          <w:rFonts w:eastAsia="Calibri" w:cs="Times New Roman"/>
          <w:snapToGrid w:val="0"/>
          <w:sz w:val="24"/>
          <w:szCs w:val="24"/>
          <w:lang w:val="bg-BG" w:eastAsia="en-US"/>
        </w:rPr>
        <w:t xml:space="preserve">“ със седалище, адрес на управление и адрес за кореспонденция: град Поморие, Пощенски код  8200, Област Бургас, Община  Поморие, </w:t>
      </w:r>
      <w:proofErr w:type="spellStart"/>
      <w:r w:rsidRPr="00AE053E">
        <w:rPr>
          <w:rFonts w:eastAsia="Calibri" w:cs="Times New Roman"/>
          <w:snapToGrid w:val="0"/>
          <w:sz w:val="24"/>
          <w:szCs w:val="24"/>
          <w:lang w:val="bg-BG" w:eastAsia="en-US"/>
        </w:rPr>
        <w:t>Микропазар</w:t>
      </w:r>
      <w:proofErr w:type="spellEnd"/>
      <w:r w:rsidRPr="00AE053E">
        <w:rPr>
          <w:rFonts w:eastAsia="Calibri" w:cs="Times New Roman"/>
          <w:snapToGrid w:val="0"/>
          <w:sz w:val="24"/>
          <w:szCs w:val="24"/>
          <w:lang w:val="bg-BG" w:eastAsia="en-US"/>
        </w:rPr>
        <w:t xml:space="preserve"> Хлебозавода, ул. Княз Борис I № 96A, офис 12 и 16, телефон 0877 909 333, имейл: </w:t>
      </w:r>
      <w:r w:rsidRPr="00AE053E">
        <w:rPr>
          <w:rFonts w:eastAsia="Calibri" w:cs="Times New Roman"/>
          <w:bCs/>
          <w:iCs/>
          <w:color w:val="000000"/>
          <w:sz w:val="24"/>
          <w:szCs w:val="24"/>
          <w:lang w:val="bg-BG" w:eastAsia="en-US"/>
        </w:rPr>
        <w:t>office@mig-pomorie.eu</w:t>
      </w:r>
      <w:r w:rsidRPr="00AE053E">
        <w:rPr>
          <w:rFonts w:eastAsia="Calibri" w:cs="Times New Roman"/>
          <w:snapToGrid w:val="0"/>
          <w:sz w:val="24"/>
          <w:szCs w:val="24"/>
          <w:lang w:val="bg-BG" w:eastAsia="en-US"/>
        </w:rPr>
        <w:t xml:space="preserve">,  БУЛСТАТ </w:t>
      </w:r>
      <w:r w:rsidRPr="00AE053E">
        <w:rPr>
          <w:rFonts w:eastAsia="Calibri" w:cs="Times New Roman"/>
          <w:snapToGrid w:val="0"/>
          <w:sz w:val="24"/>
          <w:szCs w:val="24"/>
          <w:lang w:eastAsia="en-US"/>
        </w:rPr>
        <w:t>177023379</w:t>
      </w:r>
      <w:r w:rsidRPr="00AE053E">
        <w:rPr>
          <w:rFonts w:eastAsia="Calibri" w:cs="Times New Roman"/>
          <w:snapToGrid w:val="0"/>
          <w:sz w:val="24"/>
          <w:szCs w:val="24"/>
          <w:lang w:val="bg-BG" w:eastAsia="en-US"/>
        </w:rPr>
        <w:t>, представлявано от Иван Атанасов Алексиев, ЕГН 6507250783, наричана за краткост „МИГ“, от друга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lastRenderedPageBreak/>
        <w:t xml:space="preserve">На основание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proofErr w:type="gramStart"/>
      <w:r w:rsidRPr="00D60D90">
        <w:rPr>
          <w:rFonts w:cs="Times New Roman"/>
          <w:sz w:val="24"/>
          <w:szCs w:val="24"/>
          <w:lang w:val="ru-RU"/>
        </w:rPr>
        <w:t>обн</w:t>
      </w:r>
      <w:proofErr w:type="spellEnd"/>
      <w:r w:rsidRPr="00D60D90">
        <w:rPr>
          <w:rFonts w:cs="Times New Roman"/>
          <w:sz w:val="24"/>
          <w:szCs w:val="24"/>
          <w:lang w:val="ru-RU"/>
        </w:rPr>
        <w:t>.,</w:t>
      </w:r>
      <w:proofErr w:type="gramEnd"/>
      <w:r w:rsidRPr="00D60D90">
        <w:rPr>
          <w:rFonts w:cs="Times New Roman"/>
          <w:sz w:val="24"/>
          <w:szCs w:val="24"/>
          <w:lang w:val="ru-RU"/>
        </w:rPr>
        <w:t xml:space="preserve"> ДВ, </w:t>
      </w:r>
      <w:hyperlink r:id="rId8"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 xml:space="preserve">„Наредба № 22 от 2015 </w:t>
      </w:r>
      <w:proofErr w:type="gramStart"/>
      <w:r w:rsidRPr="00A87974">
        <w:rPr>
          <w:rFonts w:cs="Times New Roman"/>
          <w:snapToGrid w:val="0"/>
          <w:sz w:val="24"/>
          <w:szCs w:val="24"/>
          <w:lang w:val="bg-BG"/>
        </w:rPr>
        <w:t>г.</w:t>
      </w:r>
      <w:r>
        <w:rPr>
          <w:rFonts w:cs="Times New Roman"/>
          <w:snapToGrid w:val="0"/>
          <w:sz w:val="24"/>
          <w:szCs w:val="24"/>
          <w:lang w:val="bg-BG"/>
        </w:rPr>
        <w:t>“</w:t>
      </w:r>
      <w:proofErr w:type="gramEnd"/>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proofErr w:type="gramStart"/>
      <w:r w:rsidRPr="00DD1DA3">
        <w:rPr>
          <w:rFonts w:cs="Times New Roman"/>
          <w:snapToGrid w:val="0"/>
          <w:sz w:val="24"/>
          <w:szCs w:val="24"/>
          <w:lang w:val="bg-BG"/>
        </w:rPr>
        <w:t>…….</w:t>
      </w:r>
      <w:proofErr w:type="gramEnd"/>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lastRenderedPageBreak/>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0"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proofErr w:type="gramStart"/>
      <w:r w:rsidRPr="00D60D90">
        <w:rPr>
          <w:rFonts w:cs="Times New Roman"/>
          <w:b w:val="0"/>
          <w:lang w:val="ru-RU"/>
        </w:rPr>
        <w:t>обн</w:t>
      </w:r>
      <w:proofErr w:type="spellEnd"/>
      <w:r w:rsidRPr="00D60D90">
        <w:rPr>
          <w:rFonts w:cs="Times New Roman"/>
          <w:b w:val="0"/>
          <w:lang w:val="ru-RU"/>
        </w:rPr>
        <w:t>.,</w:t>
      </w:r>
      <w:proofErr w:type="gramEnd"/>
      <w:r w:rsidRPr="00D60D90">
        <w:rPr>
          <w:rFonts w:cs="Times New Roman"/>
          <w:b w:val="0"/>
          <w:lang w:val="ru-RU"/>
        </w:rPr>
        <w:t xml:space="preserve"> 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xml:space="preserve">, наричана по-надолу „Наредба № 4 от 2018 </w:t>
      </w:r>
      <w:proofErr w:type="gramStart"/>
      <w:r>
        <w:rPr>
          <w:rFonts w:cs="Times New Roman"/>
          <w:b w:val="0"/>
          <w:lang w:val="bg-BG"/>
        </w:rPr>
        <w:t>г.“</w:t>
      </w:r>
      <w:proofErr w:type="gramEnd"/>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w:t>
      </w:r>
      <w:r w:rsidRPr="009B7C42">
        <w:rPr>
          <w:rFonts w:cs="Times New Roman"/>
          <w:szCs w:val="24"/>
          <w:lang w:val="bg-BG"/>
        </w:rPr>
        <w:lastRenderedPageBreak/>
        <w:t xml:space="preserve">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w:t>
      </w:r>
      <w:proofErr w:type="gramStart"/>
      <w:r w:rsidRPr="00BC0B96">
        <w:rPr>
          <w:rFonts w:cs="Times New Roman"/>
          <w:szCs w:val="24"/>
          <w:lang w:val="bg-BG"/>
        </w:rPr>
        <w:t xml:space="preserve">дейности“ </w:t>
      </w:r>
      <w:r w:rsidRPr="00BC0B96">
        <w:rPr>
          <w:rFonts w:cs="Times New Roman"/>
          <w:szCs w:val="24"/>
          <w:shd w:val="clear" w:color="auto" w:fill="FEFEFE"/>
          <w:lang w:val="bg-BG"/>
        </w:rPr>
        <w:t>в</w:t>
      </w:r>
      <w:proofErr w:type="gramEnd"/>
      <w:r w:rsidRPr="00BC0B96">
        <w:rPr>
          <w:rFonts w:cs="Times New Roman"/>
          <w:szCs w:val="24"/>
          <w:shd w:val="clear" w:color="auto" w:fill="FEFEFE"/>
          <w:lang w:val="bg-BG"/>
        </w:rPr>
        <w:t xml:space="preserve">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lastRenderedPageBreak/>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микро-,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E46AEA">
        <w:rPr>
          <w:rFonts w:cs="Times New Roman"/>
          <w:sz w:val="24"/>
          <w:szCs w:val="24"/>
          <w:shd w:val="clear" w:color="auto" w:fill="FEFEFE"/>
          <w:lang w:val="bg-BG"/>
        </w:rPr>
        <w:t>непълноти</w:t>
      </w:r>
      <w:proofErr w:type="spellEnd"/>
      <w:r w:rsidRPr="00E46AEA">
        <w:rPr>
          <w:rFonts w:cs="Times New Roman"/>
          <w:sz w:val="24"/>
          <w:szCs w:val="24"/>
          <w:shd w:val="clear" w:color="auto" w:fill="FEFEFE"/>
          <w:lang w:val="bg-BG"/>
        </w:rPr>
        <w:t xml:space="preserve">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w:t>
      </w:r>
      <w:proofErr w:type="spellStart"/>
      <w:r>
        <w:rPr>
          <w:rFonts w:cs="Times New Roman"/>
          <w:sz w:val="24"/>
          <w:szCs w:val="24"/>
          <w:shd w:val="clear" w:color="auto" w:fill="FEFEFE"/>
          <w:lang w:val="bg-BG"/>
        </w:rPr>
        <w:t>непредставяне</w:t>
      </w:r>
      <w:proofErr w:type="spellEnd"/>
      <w:r>
        <w:rPr>
          <w:rFonts w:cs="Times New Roman"/>
          <w:sz w:val="24"/>
          <w:szCs w:val="24"/>
          <w:shd w:val="clear" w:color="auto" w:fill="FEFEFE"/>
          <w:lang w:val="bg-BG"/>
        </w:rPr>
        <w:t xml:space="preserve">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w:t>
      </w:r>
      <w:proofErr w:type="gramStart"/>
      <w:r w:rsidRPr="00E46AEA">
        <w:rPr>
          <w:rFonts w:cs="Times New Roman"/>
          <w:szCs w:val="24"/>
          <w:shd w:val="clear" w:color="auto" w:fill="FEFEFE"/>
          <w:lang w:val="bg-BG"/>
        </w:rPr>
        <w:t>в срока</w:t>
      </w:r>
      <w:proofErr w:type="gramEnd"/>
      <w:r w:rsidRPr="00E46AEA">
        <w:rPr>
          <w:rFonts w:cs="Times New Roman"/>
          <w:szCs w:val="24"/>
          <w:shd w:val="clear" w:color="auto" w:fill="FEFEFE"/>
          <w:lang w:val="bg-BG"/>
        </w:rPr>
        <w:t xml:space="preserve">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w:t>
      </w:r>
      <w:r w:rsidRPr="00E46AEA">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1"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2"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 С(2013)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lastRenderedPageBreak/>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lastRenderedPageBreak/>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 xml:space="preserve">съгласно „Методология за изплащане на разходите за залесяване според </w:t>
      </w:r>
      <w:r w:rsidRPr="007B26BB">
        <w:rPr>
          <w:rFonts w:cs="Times New Roman"/>
          <w:color w:val="auto"/>
        </w:rPr>
        <w:lastRenderedPageBreak/>
        <w:t>процента на прихващане“, публикувана на интернет страницата на ДФ „Земеделие“ (</w:t>
      </w:r>
      <w:hyperlink r:id="rId13"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lastRenderedPageBreak/>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lastRenderedPageBreak/>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 xml:space="preserve">за период от 10 бюджетни години, считано от датата на която </w:t>
      </w:r>
      <w:r w:rsidRPr="00124AE3">
        <w:rPr>
          <w:rFonts w:cs="Times New Roman"/>
          <w:sz w:val="24"/>
          <w:szCs w:val="24"/>
          <w:shd w:val="clear" w:color="auto" w:fill="FEFEFE"/>
          <w:lang w:val="bg-BG"/>
        </w:rPr>
        <w:lastRenderedPageBreak/>
        <w:t>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4"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r w:rsidRPr="002D299C">
        <w:rPr>
          <w:sz w:val="24"/>
          <w:szCs w:val="24"/>
          <w:lang w:val="ru-RU"/>
        </w:rPr>
        <w:t xml:space="preserve">за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w:t>
      </w:r>
      <w:proofErr w:type="spellStart"/>
      <w:r w:rsidRPr="00E46AEA">
        <w:rPr>
          <w:rFonts w:cs="Times New Roman"/>
          <w:szCs w:val="24"/>
          <w:lang w:val="bg-BG"/>
        </w:rPr>
        <w:t>незапочване</w:t>
      </w:r>
      <w:proofErr w:type="spellEnd"/>
      <w:r w:rsidRPr="00E46AEA">
        <w:rPr>
          <w:rFonts w:cs="Times New Roman"/>
          <w:szCs w:val="24"/>
          <w:lang w:val="bg-BG"/>
        </w:rPr>
        <w:t xml:space="preserve">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5"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6"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на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E46AEA">
        <w:rPr>
          <w:rFonts w:cs="Times New Roman"/>
          <w:szCs w:val="24"/>
          <w:lang w:val="bg-BG"/>
        </w:rPr>
        <w:t>недоставена</w:t>
      </w:r>
      <w:proofErr w:type="spellEnd"/>
      <w:r w:rsidRPr="00E46AEA">
        <w:rPr>
          <w:rFonts w:cs="Times New Roman"/>
          <w:szCs w:val="24"/>
          <w:lang w:val="bg-BG"/>
        </w:rPr>
        <w:t xml:space="preserve"> поща се изпраща по друг начин. Изпратеното по </w:t>
      </w:r>
      <w:r w:rsidRPr="00E46AEA">
        <w:rPr>
          <w:rFonts w:cs="Times New Roman"/>
          <w:szCs w:val="24"/>
          <w:lang w:val="bg-BG"/>
        </w:rPr>
        <w:lastRenderedPageBreak/>
        <w:t xml:space="preserve">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7"/>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F73" w:rsidRDefault="00E13F73" w:rsidP="000A2D4E">
      <w:r>
        <w:separator/>
      </w:r>
    </w:p>
  </w:endnote>
  <w:endnote w:type="continuationSeparator" w:id="0">
    <w:p w:rsidR="00E13F73" w:rsidRDefault="00E13F73"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5379ED">
    <w:pPr>
      <w:pStyle w:val="af"/>
      <w:jc w:val="right"/>
    </w:pPr>
    <w:r>
      <w:fldChar w:fldCharType="begin"/>
    </w:r>
    <w:r>
      <w:instrText xml:space="preserve"> PAGE   \* MERGEFORMAT </w:instrText>
    </w:r>
    <w:r>
      <w:fldChar w:fldCharType="separate"/>
    </w:r>
    <w:r w:rsidR="00DB4D97">
      <w:rPr>
        <w:noProof/>
      </w:rPr>
      <w:t>18</w:t>
    </w:r>
    <w:r>
      <w:fldChar w:fldCharType="end"/>
    </w:r>
  </w:p>
  <w:p w:rsidR="00343946" w:rsidRDefault="00E13F7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F73" w:rsidRDefault="00E13F73" w:rsidP="000A2D4E">
      <w:r>
        <w:separator/>
      </w:r>
    </w:p>
  </w:footnote>
  <w:footnote w:type="continuationSeparator" w:id="0">
    <w:p w:rsidR="00E13F73" w:rsidRDefault="00E13F73" w:rsidP="000A2D4E">
      <w:r>
        <w:continuationSeparator/>
      </w:r>
    </w:p>
  </w:footnote>
  <w:footnote w:id="1">
    <w:p w:rsidR="000A2D4E" w:rsidRPr="00D60D90" w:rsidRDefault="000A2D4E" w:rsidP="00DB4D97">
      <w:pPr>
        <w:pStyle w:val="af"/>
        <w:ind w:right="284"/>
        <w:jc w:val="both"/>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w:t>
      </w:r>
      <w:proofErr w:type="gramStart"/>
      <w:r w:rsidRPr="00D60D90">
        <w:rPr>
          <w:lang w:val="ru-RU"/>
        </w:rPr>
        <w:t xml:space="preserve">по </w:t>
      </w:r>
      <w:r w:rsidR="00DB4D97" w:rsidRPr="00DB4D97">
        <w:rPr>
          <w:lang w:val="ru-RU"/>
        </w:rPr>
        <w:t>процедура</w:t>
      </w:r>
      <w:proofErr w:type="gramEnd"/>
      <w:r w:rsidR="00DB4D97" w:rsidRPr="00DB4D97">
        <w:rPr>
          <w:lang w:val="ru-RU"/>
        </w:rPr>
        <w:t xml:space="preserve"> № BG06RDNP001-19.246 _7.5_М5„Инвестиции за публично </w:t>
      </w:r>
      <w:proofErr w:type="spellStart"/>
      <w:r w:rsidR="00DB4D97" w:rsidRPr="00DB4D97">
        <w:rPr>
          <w:lang w:val="ru-RU"/>
        </w:rPr>
        <w:t>ползване</w:t>
      </w:r>
      <w:proofErr w:type="spellEnd"/>
      <w:r w:rsidR="00DB4D97" w:rsidRPr="00DB4D97">
        <w:rPr>
          <w:lang w:val="ru-RU"/>
        </w:rPr>
        <w:t xml:space="preserve"> в инфраструктура за </w:t>
      </w:r>
      <w:proofErr w:type="spellStart"/>
      <w:r w:rsidR="00DB4D97" w:rsidRPr="00DB4D97">
        <w:rPr>
          <w:lang w:val="ru-RU"/>
        </w:rPr>
        <w:t>отдих</w:t>
      </w:r>
      <w:proofErr w:type="spellEnd"/>
      <w:r w:rsidR="00DB4D97" w:rsidRPr="00DB4D97">
        <w:rPr>
          <w:lang w:val="ru-RU"/>
        </w:rPr>
        <w:t xml:space="preserve">, </w:t>
      </w:r>
      <w:proofErr w:type="spellStart"/>
      <w:r w:rsidR="00DB4D97" w:rsidRPr="00DB4D97">
        <w:rPr>
          <w:lang w:val="ru-RU"/>
        </w:rPr>
        <w:t>туристическа</w:t>
      </w:r>
      <w:proofErr w:type="spellEnd"/>
      <w:r w:rsidR="00DB4D97" w:rsidRPr="00DB4D97">
        <w:rPr>
          <w:lang w:val="ru-RU"/>
        </w:rPr>
        <w:t xml:space="preserve"> инфраструктура”</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E13F7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A2D4E"/>
    <w:rsid w:val="00124AE3"/>
    <w:rsid w:val="002E6008"/>
    <w:rsid w:val="00336902"/>
    <w:rsid w:val="00452FD6"/>
    <w:rsid w:val="005379ED"/>
    <w:rsid w:val="005513BE"/>
    <w:rsid w:val="00584AF4"/>
    <w:rsid w:val="005D683C"/>
    <w:rsid w:val="00707837"/>
    <w:rsid w:val="009B38D3"/>
    <w:rsid w:val="00AE053E"/>
    <w:rsid w:val="00C02B95"/>
    <w:rsid w:val="00C52938"/>
    <w:rsid w:val="00C8059A"/>
    <w:rsid w:val="00D6262E"/>
    <w:rsid w:val="00D77136"/>
    <w:rsid w:val="00DA00A7"/>
    <w:rsid w:val="00DB4D97"/>
    <w:rsid w:val="00E13F73"/>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uiPriority w:val="99"/>
    <w:rsid w:val="000A2D4E"/>
  </w:style>
  <w:style w:type="character" w:customStyle="1" w:styleId="af0">
    <w:name w:val="Долен колонтитул Знак"/>
    <w:basedOn w:val="a0"/>
    <w:link w:val="af"/>
    <w:uiPriority w:val="99"/>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apis://Base=NARH&amp;DocCode=8416917068&amp;Type=20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fz.b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56772&amp;Type=201" TargetMode="External"/><Relationship Id="rId5" Type="http://schemas.openxmlformats.org/officeDocument/2006/relationships/footnotes" Target="footnote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9045</Words>
  <Characters>51562</Characters>
  <Application>Microsoft Office Word</Application>
  <DocSecurity>0</DocSecurity>
  <Lines>429</Lines>
  <Paragraphs>120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Fujitsu</cp:lastModifiedBy>
  <cp:revision>6</cp:revision>
  <dcterms:created xsi:type="dcterms:W3CDTF">2018-12-14T08:14:00Z</dcterms:created>
  <dcterms:modified xsi:type="dcterms:W3CDTF">2019-03-19T12:38:00Z</dcterms:modified>
</cp:coreProperties>
</file>